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EA66AE" w14:paraId="0E7D795B" w14:textId="77777777" w:rsidTr="00EA66AE">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EA66AE" w14:paraId="57BEB86C" w14:textId="77777777">
              <w:trPr>
                <w:jc w:val="center"/>
              </w:trPr>
              <w:tc>
                <w:tcPr>
                  <w:tcW w:w="5000" w:type="pct"/>
                  <w:tcMar>
                    <w:top w:w="150" w:type="dxa"/>
                    <w:left w:w="150" w:type="dxa"/>
                    <w:bottom w:w="150" w:type="dxa"/>
                    <w:right w:w="150" w:type="dxa"/>
                  </w:tcMar>
                  <w:vAlign w:val="center"/>
                  <w:hideMark/>
                </w:tcPr>
                <w:p w14:paraId="7DD10BCD" w14:textId="5EE684D5" w:rsidR="00EA66AE" w:rsidRDefault="00EA66AE" w:rsidP="00EA66AE">
                  <w:pPr>
                    <w:rPr>
                      <w:rFonts w:ascii="Arial" w:hAnsi="Arial" w:cs="Arial"/>
                      <w:color w:val="444444"/>
                      <w:sz w:val="17"/>
                      <w:szCs w:val="17"/>
                    </w:rPr>
                  </w:pPr>
                </w:p>
              </w:tc>
            </w:tr>
            <w:tr w:rsidR="00EA66AE" w14:paraId="45D7F097"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EA66AE" w14:paraId="42037F7C" w14:textId="77777777">
                    <w:trPr>
                      <w:jc w:val="center"/>
                    </w:trPr>
                    <w:tc>
                      <w:tcPr>
                        <w:tcW w:w="5000" w:type="pct"/>
                        <w:shd w:val="clear" w:color="auto" w:fill="FFFFFF"/>
                        <w:tcMar>
                          <w:top w:w="150" w:type="dxa"/>
                          <w:left w:w="300" w:type="dxa"/>
                          <w:bottom w:w="150" w:type="dxa"/>
                          <w:right w:w="300" w:type="dxa"/>
                        </w:tcMar>
                        <w:vAlign w:val="center"/>
                        <w:hideMark/>
                      </w:tcPr>
                      <w:p w14:paraId="4AB5F84D" w14:textId="18E255CD" w:rsidR="00EA66AE" w:rsidRDefault="00EA66AE">
                        <w:pPr>
                          <w:rPr>
                            <w:rFonts w:eastAsia="Times New Roman"/>
                          </w:rPr>
                        </w:pPr>
                        <w:r>
                          <w:rPr>
                            <w:rFonts w:eastAsia="Times New Roman"/>
                            <w:noProof/>
                          </w:rPr>
                          <w:drawing>
                            <wp:inline distT="0" distB="0" distL="0" distR="0" wp14:anchorId="691DC677" wp14:editId="7E5B8AA2">
                              <wp:extent cx="3665220" cy="403860"/>
                              <wp:effectExtent l="0" t="0" r="0" b="0"/>
                              <wp:docPr id="2" name="Picture 2" descr="US Department of 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Department of Agricul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5220" cy="403860"/>
                                      </a:xfrm>
                                      <a:prstGeom prst="rect">
                                        <a:avLst/>
                                      </a:prstGeom>
                                      <a:noFill/>
                                      <a:ln>
                                        <a:noFill/>
                                      </a:ln>
                                    </pic:spPr>
                                  </pic:pic>
                                </a:graphicData>
                              </a:graphic>
                            </wp:inline>
                          </w:drawing>
                        </w:r>
                      </w:p>
                    </w:tc>
                  </w:tr>
                  <w:tr w:rsidR="00EA66AE" w14:paraId="48A397D4" w14:textId="77777777">
                    <w:trPr>
                      <w:jc w:val="center"/>
                    </w:trPr>
                    <w:tc>
                      <w:tcPr>
                        <w:tcW w:w="5000" w:type="pct"/>
                        <w:shd w:val="clear" w:color="auto" w:fill="006937"/>
                        <w:tcMar>
                          <w:top w:w="75" w:type="dxa"/>
                          <w:left w:w="300" w:type="dxa"/>
                          <w:bottom w:w="75" w:type="dxa"/>
                          <w:right w:w="300" w:type="dxa"/>
                        </w:tcMar>
                        <w:vAlign w:val="center"/>
                        <w:hideMark/>
                      </w:tcPr>
                      <w:p w14:paraId="1B3E85E6" w14:textId="77777777" w:rsidR="00EA66AE" w:rsidRDefault="00EA66AE">
                        <w:pPr>
                          <w:jc w:val="right"/>
                          <w:rPr>
                            <w:rFonts w:ascii="Arial" w:hAnsi="Arial" w:cs="Arial"/>
                            <w:color w:val="FFFFFF"/>
                            <w:sz w:val="21"/>
                            <w:szCs w:val="21"/>
                          </w:rPr>
                        </w:pPr>
                        <w:r>
                          <w:rPr>
                            <w:rStyle w:val="Strong"/>
                            <w:rFonts w:ascii="Arial" w:hAnsi="Arial" w:cs="Arial"/>
                            <w:color w:val="FFFFFF"/>
                            <w:sz w:val="21"/>
                            <w:szCs w:val="21"/>
                          </w:rPr>
                          <w:t>April 2022 Newsletter</w:t>
                        </w:r>
                        <w:r>
                          <w:rPr>
                            <w:rFonts w:ascii="Arial" w:hAnsi="Arial" w:cs="Arial"/>
                            <w:color w:val="FFFFFF"/>
                            <w:sz w:val="21"/>
                            <w:szCs w:val="21"/>
                          </w:rPr>
                          <w:t> </w:t>
                        </w:r>
                      </w:p>
                    </w:tc>
                  </w:tr>
                  <w:tr w:rsidR="00EA66AE" w14:paraId="12C64C98" w14:textId="77777777">
                    <w:trPr>
                      <w:jc w:val="center"/>
                    </w:trPr>
                    <w:tc>
                      <w:tcPr>
                        <w:tcW w:w="5000" w:type="pct"/>
                        <w:shd w:val="clear" w:color="auto" w:fill="006937"/>
                        <w:vAlign w:val="center"/>
                        <w:hideMark/>
                      </w:tcPr>
                      <w:p w14:paraId="47048099" w14:textId="77777777" w:rsidR="00EA66AE" w:rsidRDefault="00EA66AE">
                        <w:pPr>
                          <w:rPr>
                            <w:rFonts w:ascii="Arial" w:hAnsi="Arial" w:cs="Arial"/>
                            <w:color w:val="FFFFFF"/>
                            <w:sz w:val="21"/>
                            <w:szCs w:val="21"/>
                          </w:rPr>
                        </w:pPr>
                      </w:p>
                    </w:tc>
                  </w:tr>
                  <w:tr w:rsidR="00EA66AE" w14:paraId="14CBE721" w14:textId="77777777">
                    <w:trPr>
                      <w:jc w:val="center"/>
                    </w:trPr>
                    <w:tc>
                      <w:tcPr>
                        <w:tcW w:w="5000" w:type="pct"/>
                        <w:shd w:val="clear" w:color="auto" w:fill="006937"/>
                        <w:tcMar>
                          <w:top w:w="105" w:type="dxa"/>
                          <w:left w:w="75" w:type="dxa"/>
                          <w:bottom w:w="105" w:type="dxa"/>
                          <w:right w:w="75" w:type="dxa"/>
                        </w:tcMar>
                        <w:vAlign w:val="center"/>
                        <w:hideMark/>
                      </w:tcPr>
                      <w:p w14:paraId="5C7522FB" w14:textId="77777777" w:rsidR="00EA66AE" w:rsidRDefault="00EA66AE">
                        <w:pPr>
                          <w:jc w:val="center"/>
                          <w:rPr>
                            <w:rFonts w:ascii="Arial" w:hAnsi="Arial" w:cs="Arial"/>
                            <w:color w:val="FFFFFF"/>
                            <w:sz w:val="18"/>
                            <w:szCs w:val="18"/>
                          </w:rPr>
                        </w:pPr>
                        <w:hyperlink r:id="rId6" w:tgtFrame="_blank" w:history="1">
                          <w:r>
                            <w:rPr>
                              <w:rStyle w:val="Hyperlink"/>
                              <w:rFonts w:ascii="Arial" w:hAnsi="Arial" w:cs="Arial"/>
                              <w:b/>
                              <w:bCs/>
                              <w:color w:val="FFFFFF"/>
                              <w:sz w:val="18"/>
                              <w:szCs w:val="18"/>
                            </w:rPr>
                            <w:t>Farm Service Agency</w:t>
                          </w:r>
                        </w:hyperlink>
                        <w:r>
                          <w:rPr>
                            <w:rStyle w:val="Strong"/>
                            <w:rFonts w:ascii="Arial" w:hAnsi="Arial" w:cs="Arial"/>
                            <w:color w:val="FFFFFF"/>
                            <w:sz w:val="18"/>
                            <w:szCs w:val="18"/>
                          </w:rPr>
                          <w:t>  |  </w:t>
                        </w:r>
                        <w:hyperlink r:id="rId7" w:tgtFrame="_blank" w:history="1">
                          <w:r>
                            <w:rPr>
                              <w:rStyle w:val="Hyperlink"/>
                              <w:rFonts w:ascii="Arial" w:hAnsi="Arial" w:cs="Arial"/>
                              <w:b/>
                              <w:bCs/>
                              <w:color w:val="FFFFFF"/>
                              <w:sz w:val="18"/>
                              <w:szCs w:val="18"/>
                            </w:rPr>
                            <w:t>Natural Resources Conservation Service</w:t>
                          </w:r>
                        </w:hyperlink>
                        <w:r>
                          <w:rPr>
                            <w:rStyle w:val="Strong"/>
                            <w:rFonts w:ascii="Arial" w:hAnsi="Arial" w:cs="Arial"/>
                            <w:color w:val="FFFFFF"/>
                            <w:sz w:val="18"/>
                            <w:szCs w:val="18"/>
                          </w:rPr>
                          <w:t>  |  </w:t>
                        </w:r>
                        <w:hyperlink r:id="rId8" w:tgtFrame="_blank" w:history="1">
                          <w:r>
                            <w:rPr>
                              <w:rStyle w:val="Hyperlink"/>
                              <w:rFonts w:ascii="Arial" w:hAnsi="Arial" w:cs="Arial"/>
                              <w:b/>
                              <w:bCs/>
                              <w:color w:val="FFFFFF"/>
                              <w:sz w:val="18"/>
                              <w:szCs w:val="18"/>
                            </w:rPr>
                            <w:t>Risk Management Agency</w:t>
                          </w:r>
                        </w:hyperlink>
                      </w:p>
                    </w:tc>
                  </w:tr>
                  <w:tr w:rsidR="00EA66AE" w14:paraId="76B64350" w14:textId="77777777">
                    <w:trPr>
                      <w:jc w:val="center"/>
                    </w:trPr>
                    <w:tc>
                      <w:tcPr>
                        <w:tcW w:w="5000" w:type="pct"/>
                        <w:shd w:val="clear" w:color="auto" w:fill="FFFFFF"/>
                        <w:tcMar>
                          <w:top w:w="0" w:type="dxa"/>
                          <w:left w:w="300" w:type="dxa"/>
                          <w:bottom w:w="300" w:type="dxa"/>
                          <w:right w:w="300" w:type="dxa"/>
                        </w:tcMar>
                        <w:vAlign w:val="center"/>
                        <w:hideMark/>
                      </w:tcPr>
                      <w:p w14:paraId="6D6E9EB3" w14:textId="77777777" w:rsidR="00EA66AE" w:rsidRDefault="00EA66AE">
                        <w:pPr>
                          <w:pStyle w:val="Heading3"/>
                          <w:spacing w:before="150" w:beforeAutospacing="0" w:after="225" w:afterAutospacing="0"/>
                          <w:rPr>
                            <w:rFonts w:ascii="Arial" w:eastAsia="Times New Roman" w:hAnsi="Arial" w:cs="Arial"/>
                            <w:color w:val="000000"/>
                            <w:sz w:val="24"/>
                            <w:szCs w:val="24"/>
                          </w:rPr>
                        </w:pPr>
                        <w:r>
                          <w:rPr>
                            <w:rFonts w:ascii="Arial" w:eastAsia="Times New Roman" w:hAnsi="Arial" w:cs="Arial"/>
                            <w:color w:val="000000"/>
                            <w:sz w:val="24"/>
                            <w:szCs w:val="24"/>
                          </w:rPr>
                          <w:t>In This Issue:</w:t>
                        </w:r>
                      </w:p>
                      <w:p w14:paraId="47CB1E55" w14:textId="77777777" w:rsidR="00EA66AE" w:rsidRDefault="00EA66AE">
                        <w:pPr>
                          <w:numPr>
                            <w:ilvl w:val="0"/>
                            <w:numId w:val="1"/>
                          </w:numPr>
                          <w:spacing w:before="100" w:beforeAutospacing="1" w:after="105"/>
                          <w:rPr>
                            <w:rFonts w:ascii="Arial" w:eastAsia="Times New Roman" w:hAnsi="Arial" w:cs="Arial"/>
                            <w:color w:val="000000"/>
                            <w:sz w:val="24"/>
                            <w:szCs w:val="24"/>
                          </w:rPr>
                        </w:pPr>
                        <w:hyperlink w:anchor="link_2" w:history="1">
                          <w:r>
                            <w:rPr>
                              <w:rStyle w:val="Hyperlink"/>
                              <w:rFonts w:ascii="Arial" w:eastAsia="Times New Roman" w:hAnsi="Arial" w:cs="Arial"/>
                              <w:color w:val="1953CB"/>
                              <w:sz w:val="24"/>
                              <w:szCs w:val="24"/>
                            </w:rPr>
                            <w:t>USDA Designates Maricopa County, Arizona, as a Primary Natural Disaster Area</w:t>
                          </w:r>
                        </w:hyperlink>
                      </w:p>
                      <w:p w14:paraId="56576C88" w14:textId="77777777" w:rsidR="00EA66AE" w:rsidRDefault="00EA66AE">
                        <w:pPr>
                          <w:numPr>
                            <w:ilvl w:val="0"/>
                            <w:numId w:val="1"/>
                          </w:numPr>
                          <w:spacing w:before="100" w:beforeAutospacing="1" w:after="105"/>
                          <w:rPr>
                            <w:rFonts w:ascii="Arial" w:eastAsia="Times New Roman" w:hAnsi="Arial" w:cs="Arial"/>
                            <w:color w:val="000000"/>
                            <w:sz w:val="24"/>
                            <w:szCs w:val="24"/>
                          </w:rPr>
                        </w:pPr>
                        <w:hyperlink w:anchor="link_3" w:history="1">
                          <w:r>
                            <w:rPr>
                              <w:rStyle w:val="Hyperlink"/>
                              <w:rFonts w:ascii="Arial" w:eastAsia="Times New Roman" w:hAnsi="Arial" w:cs="Arial"/>
                              <w:color w:val="1953CB"/>
                              <w:sz w:val="24"/>
                              <w:szCs w:val="24"/>
                            </w:rPr>
                            <w:t xml:space="preserve">USDA Updates Eligibility for Spot Market Hog Pandemic Program </w:t>
                          </w:r>
                        </w:hyperlink>
                      </w:p>
                      <w:p w14:paraId="72EB8C72" w14:textId="77777777" w:rsidR="00EA66AE" w:rsidRDefault="00EA66AE">
                        <w:pPr>
                          <w:numPr>
                            <w:ilvl w:val="0"/>
                            <w:numId w:val="1"/>
                          </w:numPr>
                          <w:spacing w:before="100" w:beforeAutospacing="1" w:after="105"/>
                          <w:rPr>
                            <w:rFonts w:ascii="Arial" w:eastAsia="Times New Roman" w:hAnsi="Arial" w:cs="Arial"/>
                            <w:color w:val="000000"/>
                            <w:sz w:val="24"/>
                            <w:szCs w:val="24"/>
                          </w:rPr>
                        </w:pPr>
                        <w:hyperlink w:anchor="link_7" w:history="1">
                          <w:r>
                            <w:rPr>
                              <w:rStyle w:val="Hyperlink"/>
                              <w:rFonts w:ascii="Arial" w:eastAsia="Times New Roman" w:hAnsi="Arial" w:cs="Arial"/>
                              <w:color w:val="1953CB"/>
                              <w:sz w:val="24"/>
                              <w:szCs w:val="24"/>
                            </w:rPr>
                            <w:t>USDA Encourages Producers to Enroll in Grassland CRP</w:t>
                          </w:r>
                        </w:hyperlink>
                      </w:p>
                      <w:p w14:paraId="5177F8F5" w14:textId="77777777" w:rsidR="00EA66AE" w:rsidRDefault="00EA66AE">
                        <w:pPr>
                          <w:numPr>
                            <w:ilvl w:val="0"/>
                            <w:numId w:val="1"/>
                          </w:numPr>
                          <w:spacing w:before="100" w:beforeAutospacing="1" w:after="105"/>
                          <w:rPr>
                            <w:rFonts w:ascii="Arial" w:eastAsia="Times New Roman" w:hAnsi="Arial" w:cs="Arial"/>
                            <w:color w:val="000000"/>
                            <w:sz w:val="24"/>
                            <w:szCs w:val="24"/>
                          </w:rPr>
                        </w:pPr>
                        <w:hyperlink w:anchor="link_1" w:history="1">
                          <w:r>
                            <w:rPr>
                              <w:rStyle w:val="Hyperlink"/>
                              <w:rFonts w:ascii="Arial" w:eastAsia="Times New Roman" w:hAnsi="Arial" w:cs="Arial"/>
                              <w:color w:val="1953CB"/>
                              <w:sz w:val="24"/>
                              <w:szCs w:val="24"/>
                            </w:rPr>
                            <w:t>USDA Accepting Applications to Mitigate Wildfire Risk and Improve Forest Health in Arizona</w:t>
                          </w:r>
                        </w:hyperlink>
                      </w:p>
                      <w:p w14:paraId="0296BF7A" w14:textId="77777777" w:rsidR="00EA66AE" w:rsidRDefault="00EA66AE">
                        <w:pPr>
                          <w:numPr>
                            <w:ilvl w:val="0"/>
                            <w:numId w:val="1"/>
                          </w:numPr>
                          <w:spacing w:before="100" w:beforeAutospacing="1" w:after="105"/>
                          <w:rPr>
                            <w:rFonts w:ascii="Arial" w:eastAsia="Times New Roman" w:hAnsi="Arial" w:cs="Arial"/>
                            <w:color w:val="000000"/>
                            <w:sz w:val="24"/>
                            <w:szCs w:val="24"/>
                          </w:rPr>
                        </w:pPr>
                        <w:hyperlink w:anchor="link_8" w:history="1">
                          <w:r>
                            <w:rPr>
                              <w:rStyle w:val="Hyperlink"/>
                              <w:rFonts w:ascii="Arial" w:eastAsia="Times New Roman" w:hAnsi="Arial" w:cs="Arial"/>
                              <w:color w:val="1953CB"/>
                              <w:sz w:val="24"/>
                              <w:szCs w:val="24"/>
                            </w:rPr>
                            <w:t>USDA Offers Farmers.gov Features to Help Farmers Hire Workers</w:t>
                          </w:r>
                        </w:hyperlink>
                      </w:p>
                      <w:p w14:paraId="6C3C5115" w14:textId="77777777" w:rsidR="00EA66AE" w:rsidRDefault="00EA66AE">
                        <w:pPr>
                          <w:numPr>
                            <w:ilvl w:val="0"/>
                            <w:numId w:val="1"/>
                          </w:numPr>
                          <w:spacing w:before="100" w:beforeAutospacing="1" w:after="105"/>
                          <w:rPr>
                            <w:rFonts w:ascii="Arial" w:eastAsia="Times New Roman" w:hAnsi="Arial" w:cs="Arial"/>
                            <w:color w:val="000000"/>
                            <w:sz w:val="24"/>
                            <w:szCs w:val="24"/>
                          </w:rPr>
                        </w:pPr>
                        <w:hyperlink w:anchor="link_6" w:history="1">
                          <w:r>
                            <w:rPr>
                              <w:rStyle w:val="Hyperlink"/>
                              <w:rFonts w:ascii="Arial" w:eastAsia="Times New Roman" w:hAnsi="Arial" w:cs="Arial"/>
                              <w:color w:val="1953CB"/>
                              <w:sz w:val="24"/>
                              <w:szCs w:val="24"/>
                            </w:rPr>
                            <w:t xml:space="preserve">Ask the Expert: A Farm Operating Loan Q&amp;A with Jack </w:t>
                          </w:r>
                          <w:proofErr w:type="spellStart"/>
                          <w:r>
                            <w:rPr>
                              <w:rStyle w:val="Hyperlink"/>
                              <w:rFonts w:ascii="Arial" w:eastAsia="Times New Roman" w:hAnsi="Arial" w:cs="Arial"/>
                              <w:color w:val="1953CB"/>
                              <w:sz w:val="24"/>
                              <w:szCs w:val="24"/>
                            </w:rPr>
                            <w:t>Carlile</w:t>
                          </w:r>
                          <w:proofErr w:type="spellEnd"/>
                        </w:hyperlink>
                      </w:p>
                      <w:p w14:paraId="60FF8173" w14:textId="77777777" w:rsidR="00EA66AE" w:rsidRDefault="00EA66AE" w:rsidP="00EA66AE">
                        <w:pPr>
                          <w:jc w:val="center"/>
                          <w:rPr>
                            <w:rFonts w:eastAsia="Times New Roman"/>
                          </w:rPr>
                        </w:pPr>
                        <w:r>
                          <w:rPr>
                            <w:rFonts w:eastAsia="Times New Roman"/>
                          </w:rPr>
                          <w:pict w14:anchorId="3653B6B2">
                            <v:rect id="_x0000_i1026" style="width:468pt;height:1.2pt" o:hralign="center" o:hrstd="t" o:hrnoshade="t" o:hr="t" fillcolor="#aaa" stroked="f"/>
                          </w:pict>
                        </w:r>
                      </w:p>
                      <w:p w14:paraId="4515FC0F" w14:textId="77777777" w:rsidR="00EA66AE" w:rsidRDefault="00EA66AE">
                        <w:pPr>
                          <w:pStyle w:val="Heading1"/>
                          <w:spacing w:before="0" w:beforeAutospacing="0" w:after="150" w:afterAutospacing="0"/>
                          <w:rPr>
                            <w:rFonts w:ascii="Arial" w:eastAsia="Times New Roman" w:hAnsi="Arial" w:cs="Arial"/>
                            <w:color w:val="000000"/>
                            <w:sz w:val="36"/>
                            <w:szCs w:val="36"/>
                          </w:rPr>
                        </w:pPr>
                        <w:bookmarkStart w:id="0" w:name="link_2"/>
                        <w:r>
                          <w:rPr>
                            <w:rFonts w:ascii="Arial" w:eastAsia="Times New Roman" w:hAnsi="Arial" w:cs="Arial"/>
                            <w:color w:val="000000"/>
                            <w:sz w:val="36"/>
                            <w:szCs w:val="36"/>
                          </w:rPr>
                          <w:t>USDA Designates Maricopa County, Arizona, as a Primary Natural Disaster Area</w:t>
                        </w:r>
                        <w:bookmarkEnd w:id="0"/>
                      </w:p>
                      <w:p w14:paraId="777398C6"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 xml:space="preserve">This Secretarial natural disaster designation allows the United States Department of Agriculture (USDA) Farm Service Agency (FSA) to extend much-needed emergency credit to producers recovering from natural disasters through </w:t>
                        </w:r>
                        <w:hyperlink r:id="rId9" w:history="1">
                          <w:r>
                            <w:rPr>
                              <w:rStyle w:val="Hyperlink"/>
                              <w:rFonts w:ascii="Arial" w:hAnsi="Arial" w:cs="Arial"/>
                              <w:color w:val="1953CB"/>
                              <w:sz w:val="21"/>
                              <w:szCs w:val="21"/>
                            </w:rPr>
                            <w:t>emergency loans</w:t>
                          </w:r>
                        </w:hyperlink>
                        <w:r>
                          <w:rPr>
                            <w:rFonts w:ascii="Arial" w:hAnsi="Arial" w:cs="Arial"/>
                            <w:color w:val="000000"/>
                            <w:sz w:val="21"/>
                            <w:szCs w:val="21"/>
                          </w:rPr>
                          <w:t>. Emergency loans can be used to meet various recovery needs including the replacement of essential items such as equipment or livestock, reorganization of a farming operation or the refinance of certain debts. FSA will review the loans based on the extent of losses, security available and repayment ability.</w:t>
                        </w:r>
                      </w:p>
                      <w:p w14:paraId="28B8CF27" w14:textId="77777777" w:rsidR="00EA66AE" w:rsidRDefault="00EA66AE">
                        <w:pPr>
                          <w:spacing w:before="150" w:after="225"/>
                          <w:rPr>
                            <w:rFonts w:ascii="Arial" w:hAnsi="Arial" w:cs="Arial"/>
                            <w:color w:val="000000"/>
                            <w:sz w:val="21"/>
                            <w:szCs w:val="21"/>
                          </w:rPr>
                        </w:pPr>
                        <w:r>
                          <w:rPr>
                            <w:rStyle w:val="Strong"/>
                            <w:rFonts w:ascii="Arial" w:hAnsi="Arial" w:cs="Arial"/>
                            <w:color w:val="000000"/>
                            <w:sz w:val="21"/>
                            <w:szCs w:val="21"/>
                            <w:u w:val="single"/>
                          </w:rPr>
                          <w:t>Impacted Area</w:t>
                        </w:r>
                        <w:r>
                          <w:rPr>
                            <w:rFonts w:ascii="Arial" w:hAnsi="Arial" w:cs="Arial"/>
                            <w:color w:val="000000"/>
                            <w:sz w:val="21"/>
                            <w:szCs w:val="21"/>
                          </w:rPr>
                          <w:t>: Arizona</w:t>
                        </w:r>
                      </w:p>
                      <w:p w14:paraId="54EFE24F" w14:textId="77777777" w:rsidR="00EA66AE" w:rsidRDefault="00EA66AE">
                        <w:pPr>
                          <w:spacing w:before="150" w:after="225"/>
                          <w:rPr>
                            <w:rFonts w:ascii="Arial" w:hAnsi="Arial" w:cs="Arial"/>
                            <w:color w:val="000000"/>
                            <w:sz w:val="21"/>
                            <w:szCs w:val="21"/>
                          </w:rPr>
                        </w:pPr>
                        <w:r>
                          <w:rPr>
                            <w:rStyle w:val="Strong"/>
                            <w:rFonts w:ascii="Arial" w:hAnsi="Arial" w:cs="Arial"/>
                            <w:color w:val="000000"/>
                            <w:sz w:val="21"/>
                            <w:szCs w:val="21"/>
                            <w:u w:val="single"/>
                          </w:rPr>
                          <w:t>Triggering Disaster Event:</w:t>
                        </w:r>
                        <w:r>
                          <w:rPr>
                            <w:rFonts w:ascii="Arial" w:hAnsi="Arial" w:cs="Arial"/>
                            <w:color w:val="000000"/>
                            <w:sz w:val="21"/>
                            <w:szCs w:val="21"/>
                          </w:rPr>
                          <w:t xml:space="preserve"> Rain, flash floods and winds that occurred from August 1 through August 13, 2021.</w:t>
                        </w:r>
                      </w:p>
                      <w:p w14:paraId="11C9D40F" w14:textId="77777777" w:rsidR="00EA66AE" w:rsidRDefault="00EA66AE">
                        <w:pPr>
                          <w:spacing w:before="150" w:after="225"/>
                          <w:rPr>
                            <w:rFonts w:ascii="Arial" w:hAnsi="Arial" w:cs="Arial"/>
                            <w:color w:val="000000"/>
                            <w:sz w:val="21"/>
                            <w:szCs w:val="21"/>
                          </w:rPr>
                        </w:pPr>
                        <w:r>
                          <w:rPr>
                            <w:rStyle w:val="Strong"/>
                            <w:rFonts w:ascii="Arial" w:hAnsi="Arial" w:cs="Arial"/>
                            <w:color w:val="000000"/>
                            <w:sz w:val="21"/>
                            <w:szCs w:val="21"/>
                            <w:u w:val="single"/>
                          </w:rPr>
                          <w:t>Application Deadline</w:t>
                        </w:r>
                        <w:r>
                          <w:rPr>
                            <w:rFonts w:ascii="Arial" w:hAnsi="Arial" w:cs="Arial"/>
                            <w:color w:val="000000"/>
                            <w:sz w:val="21"/>
                            <w:szCs w:val="21"/>
                          </w:rPr>
                          <w:t xml:space="preserve">: </w:t>
                        </w:r>
                        <w:r>
                          <w:rPr>
                            <w:rStyle w:val="Strong"/>
                            <w:rFonts w:ascii="Arial" w:hAnsi="Arial" w:cs="Arial"/>
                            <w:color w:val="000000"/>
                            <w:sz w:val="21"/>
                            <w:szCs w:val="21"/>
                          </w:rPr>
                          <w:t>May 13, 2022</w:t>
                        </w:r>
                      </w:p>
                      <w:p w14:paraId="06D8F162" w14:textId="77777777" w:rsidR="00EA66AE" w:rsidRDefault="00EA66AE">
                        <w:pPr>
                          <w:spacing w:before="150" w:after="225"/>
                          <w:rPr>
                            <w:rFonts w:ascii="Arial" w:hAnsi="Arial" w:cs="Arial"/>
                            <w:color w:val="000000"/>
                            <w:sz w:val="21"/>
                            <w:szCs w:val="21"/>
                          </w:rPr>
                        </w:pPr>
                        <w:r>
                          <w:rPr>
                            <w:rStyle w:val="Strong"/>
                            <w:rFonts w:ascii="Arial" w:hAnsi="Arial" w:cs="Arial"/>
                            <w:color w:val="000000"/>
                            <w:sz w:val="21"/>
                            <w:szCs w:val="21"/>
                            <w:u w:val="single"/>
                          </w:rPr>
                          <w:t>Primary County Eligible</w:t>
                        </w:r>
                        <w:r>
                          <w:rPr>
                            <w:rFonts w:ascii="Arial" w:hAnsi="Arial" w:cs="Arial"/>
                            <w:color w:val="000000"/>
                            <w:sz w:val="21"/>
                            <w:szCs w:val="21"/>
                          </w:rPr>
                          <w:t>: Maricopa</w:t>
                        </w:r>
                      </w:p>
                      <w:p w14:paraId="4BB0FD57" w14:textId="77777777" w:rsidR="00EA66AE" w:rsidRDefault="00EA66AE">
                        <w:pPr>
                          <w:spacing w:before="150" w:after="225"/>
                          <w:rPr>
                            <w:rFonts w:ascii="Arial" w:hAnsi="Arial" w:cs="Arial"/>
                            <w:color w:val="000000"/>
                            <w:sz w:val="21"/>
                            <w:szCs w:val="21"/>
                          </w:rPr>
                        </w:pPr>
                        <w:r>
                          <w:rPr>
                            <w:rStyle w:val="Strong"/>
                            <w:rFonts w:ascii="Arial" w:hAnsi="Arial" w:cs="Arial"/>
                            <w:color w:val="000000"/>
                            <w:sz w:val="21"/>
                            <w:szCs w:val="21"/>
                            <w:u w:val="single"/>
                          </w:rPr>
                          <w:t>Contiguous Counties Also Eligible</w:t>
                        </w:r>
                        <w:r>
                          <w:rPr>
                            <w:rFonts w:ascii="Arial" w:hAnsi="Arial" w:cs="Arial"/>
                            <w:color w:val="000000"/>
                            <w:sz w:val="21"/>
                            <w:szCs w:val="21"/>
                          </w:rPr>
                          <w:t xml:space="preserve">: Gila, La Paz, Pima, Pinal, </w:t>
                        </w:r>
                        <w:proofErr w:type="gramStart"/>
                        <w:r>
                          <w:rPr>
                            <w:rFonts w:ascii="Arial" w:hAnsi="Arial" w:cs="Arial"/>
                            <w:color w:val="000000"/>
                            <w:sz w:val="21"/>
                            <w:szCs w:val="21"/>
                          </w:rPr>
                          <w:t>Yavapai</w:t>
                        </w:r>
                        <w:proofErr w:type="gramEnd"/>
                        <w:r>
                          <w:rPr>
                            <w:rFonts w:ascii="Arial" w:hAnsi="Arial" w:cs="Arial"/>
                            <w:color w:val="000000"/>
                            <w:sz w:val="21"/>
                            <w:szCs w:val="21"/>
                          </w:rPr>
                          <w:t xml:space="preserve"> and Yuma</w:t>
                        </w:r>
                      </w:p>
                      <w:p w14:paraId="5FF3CA0C" w14:textId="77777777" w:rsidR="00EA66AE" w:rsidRDefault="00EA66AE">
                        <w:pPr>
                          <w:spacing w:before="150" w:after="225"/>
                          <w:rPr>
                            <w:rFonts w:ascii="Arial" w:hAnsi="Arial" w:cs="Arial"/>
                            <w:color w:val="000000"/>
                            <w:sz w:val="21"/>
                            <w:szCs w:val="21"/>
                          </w:rPr>
                        </w:pPr>
                        <w:r>
                          <w:rPr>
                            <w:rStyle w:val="Strong"/>
                            <w:rFonts w:ascii="Arial" w:hAnsi="Arial" w:cs="Arial"/>
                            <w:color w:val="000000"/>
                            <w:sz w:val="21"/>
                            <w:szCs w:val="21"/>
                          </w:rPr>
                          <w:t>More Resources</w:t>
                        </w:r>
                      </w:p>
                      <w:p w14:paraId="269B073A"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On farmers.gov, the </w:t>
                        </w:r>
                        <w:hyperlink r:id="rId10" w:history="1">
                          <w:r>
                            <w:rPr>
                              <w:rStyle w:val="Hyperlink"/>
                              <w:rFonts w:ascii="Arial" w:hAnsi="Arial" w:cs="Arial"/>
                              <w:color w:val="1953CB"/>
                              <w:sz w:val="21"/>
                              <w:szCs w:val="21"/>
                            </w:rPr>
                            <w:t>Disaster Assistance Discovery Tool</w:t>
                          </w:r>
                        </w:hyperlink>
                        <w:r>
                          <w:rPr>
                            <w:rFonts w:ascii="Arial" w:hAnsi="Arial" w:cs="Arial"/>
                            <w:color w:val="000000"/>
                            <w:sz w:val="21"/>
                            <w:szCs w:val="21"/>
                          </w:rPr>
                          <w:t>, </w:t>
                        </w:r>
                        <w:hyperlink r:id="rId11" w:history="1">
                          <w:r>
                            <w:rPr>
                              <w:rStyle w:val="Hyperlink"/>
                              <w:rFonts w:ascii="Arial" w:hAnsi="Arial" w:cs="Arial"/>
                              <w:color w:val="1953CB"/>
                              <w:sz w:val="21"/>
                              <w:szCs w:val="21"/>
                            </w:rPr>
                            <w:t>Disaster Assistance-at-a-Glance fact sheet</w:t>
                          </w:r>
                        </w:hyperlink>
                        <w:r>
                          <w:rPr>
                            <w:rFonts w:ascii="Arial" w:hAnsi="Arial" w:cs="Arial"/>
                            <w:color w:val="000000"/>
                            <w:sz w:val="21"/>
                            <w:szCs w:val="21"/>
                          </w:rPr>
                          <w:t>, and </w:t>
                        </w:r>
                        <w:hyperlink r:id="rId12" w:history="1">
                          <w:r>
                            <w:rPr>
                              <w:rStyle w:val="Hyperlink"/>
                              <w:rFonts w:ascii="Arial" w:hAnsi="Arial" w:cs="Arial"/>
                              <w:color w:val="1953CB"/>
                              <w:sz w:val="21"/>
                              <w:szCs w:val="21"/>
                            </w:rPr>
                            <w:t>Farm Loan Discovery Tool</w:t>
                          </w:r>
                        </w:hyperlink>
                        <w:r>
                          <w:rPr>
                            <w:rFonts w:ascii="Arial" w:hAnsi="Arial" w:cs="Arial"/>
                            <w:color w:val="000000"/>
                            <w:sz w:val="21"/>
                            <w:szCs w:val="21"/>
                          </w:rPr>
                          <w:t xml:space="preserve"> can help you determine program or loan </w:t>
                        </w:r>
                        <w:r>
                          <w:rPr>
                            <w:rFonts w:ascii="Arial" w:hAnsi="Arial" w:cs="Arial"/>
                            <w:color w:val="000000"/>
                            <w:sz w:val="21"/>
                            <w:szCs w:val="21"/>
                          </w:rPr>
                          <w:lastRenderedPageBreak/>
                          <w:t xml:space="preserve">options. To file a Notice of Loss or to ask questions about available programs, contact your local </w:t>
                        </w:r>
                        <w:hyperlink r:id="rId13" w:history="1">
                          <w:r>
                            <w:rPr>
                              <w:rStyle w:val="Hyperlink"/>
                              <w:rFonts w:ascii="Arial" w:hAnsi="Arial" w:cs="Arial"/>
                              <w:color w:val="1953CB"/>
                              <w:sz w:val="21"/>
                              <w:szCs w:val="21"/>
                            </w:rPr>
                            <w:t> USDA Service Center</w:t>
                          </w:r>
                        </w:hyperlink>
                        <w:r>
                          <w:rPr>
                            <w:rFonts w:ascii="Arial" w:hAnsi="Arial" w:cs="Arial"/>
                            <w:color w:val="000000"/>
                            <w:sz w:val="21"/>
                            <w:szCs w:val="21"/>
                          </w:rPr>
                          <w:t>.</w:t>
                        </w:r>
                      </w:p>
                      <w:p w14:paraId="2470FFE2" w14:textId="77777777" w:rsidR="00EA66AE" w:rsidRDefault="00EA66AE" w:rsidP="00EA66AE">
                        <w:pPr>
                          <w:jc w:val="center"/>
                          <w:rPr>
                            <w:rFonts w:eastAsia="Times New Roman"/>
                          </w:rPr>
                        </w:pPr>
                        <w:r>
                          <w:rPr>
                            <w:rFonts w:eastAsia="Times New Roman"/>
                          </w:rPr>
                          <w:pict w14:anchorId="4494A0FB">
                            <v:rect id="_x0000_i1027" style="width:468pt;height:1.2pt" o:hralign="center" o:hrstd="t" o:hrnoshade="t" o:hr="t" fillcolor="#aaa" stroked="f"/>
                          </w:pict>
                        </w:r>
                      </w:p>
                      <w:p w14:paraId="1E154357" w14:textId="77777777" w:rsidR="00EA66AE" w:rsidRDefault="00EA66AE">
                        <w:pPr>
                          <w:pStyle w:val="Heading1"/>
                          <w:spacing w:before="0" w:beforeAutospacing="0" w:after="150" w:afterAutospacing="0"/>
                          <w:rPr>
                            <w:rFonts w:ascii="Arial" w:eastAsia="Times New Roman" w:hAnsi="Arial" w:cs="Arial"/>
                            <w:color w:val="000000"/>
                            <w:sz w:val="36"/>
                            <w:szCs w:val="36"/>
                          </w:rPr>
                        </w:pPr>
                        <w:bookmarkStart w:id="1" w:name="link_3"/>
                        <w:r>
                          <w:rPr>
                            <w:rFonts w:ascii="Arial" w:eastAsia="Times New Roman" w:hAnsi="Arial" w:cs="Arial"/>
                            <w:color w:val="000000"/>
                            <w:sz w:val="36"/>
                            <w:szCs w:val="36"/>
                          </w:rPr>
                          <w:t xml:space="preserve">USDA Updates Eligibility for Spot Market Hog Pandemic Program </w:t>
                        </w:r>
                        <w:bookmarkEnd w:id="1"/>
                      </w:p>
                      <w:p w14:paraId="30C529F6"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 xml:space="preserve">The U.S. Department of Agriculture (USDA) has clarified the definition of a spot market sale and hog eligibility under the </w:t>
                        </w:r>
                        <w:hyperlink r:id="rId14" w:history="1">
                          <w:r>
                            <w:rPr>
                              <w:rStyle w:val="Hyperlink"/>
                              <w:rFonts w:ascii="Arial" w:hAnsi="Arial" w:cs="Arial"/>
                              <w:color w:val="1953CB"/>
                              <w:sz w:val="21"/>
                              <w:szCs w:val="21"/>
                            </w:rPr>
                            <w:t>Spot Market Hog Pandemic Program</w:t>
                          </w:r>
                        </w:hyperlink>
                        <w:r>
                          <w:rPr>
                            <w:rFonts w:ascii="Arial" w:hAnsi="Arial" w:cs="Arial"/>
                            <w:color w:val="000000"/>
                            <w:sz w:val="21"/>
                            <w:szCs w:val="21"/>
                          </w:rPr>
                          <w:t xml:space="preserve"> (SMHPP), which assists producers who sold hogs through a spot market sale from April 16, 2020, through Sept. 1, 2020. Hog producers will also now be required to submit documentation to support information provided on their SMHPP application. USDA’s Farm Service Agency (FSA) will accept applications </w:t>
                        </w:r>
                        <w:r>
                          <w:rPr>
                            <w:rStyle w:val="Strong"/>
                            <w:rFonts w:ascii="Arial" w:hAnsi="Arial" w:cs="Arial"/>
                            <w:color w:val="000000"/>
                            <w:sz w:val="21"/>
                            <w:szCs w:val="21"/>
                          </w:rPr>
                          <w:t>through April 29, 2022</w:t>
                        </w:r>
                        <w:r>
                          <w:rPr>
                            <w:rFonts w:ascii="Arial" w:hAnsi="Arial" w:cs="Arial"/>
                            <w:color w:val="000000"/>
                            <w:sz w:val="21"/>
                            <w:szCs w:val="21"/>
                          </w:rPr>
                          <w:t>, which is an extension of the April 15, 2022, deadline previously set for the program.  </w:t>
                        </w:r>
                      </w:p>
                      <w:p w14:paraId="16E7958A"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 xml:space="preserve">USDA is offering the SMHPP in response to a reduction in packer production due to the COVID-19 pandemic, which resulted in fewer negotiated hogs being procured and subsequent lower market prices. The program is part of USDA’s broader </w:t>
                        </w:r>
                        <w:hyperlink r:id="rId15" w:history="1">
                          <w:r>
                            <w:rPr>
                              <w:rStyle w:val="Hyperlink"/>
                              <w:rFonts w:ascii="Arial" w:hAnsi="Arial" w:cs="Arial"/>
                              <w:color w:val="1953CB"/>
                              <w:sz w:val="21"/>
                              <w:szCs w:val="21"/>
                            </w:rPr>
                            <w:t>Pandemic Assistance for Producers</w:t>
                          </w:r>
                        </w:hyperlink>
                        <w:r>
                          <w:rPr>
                            <w:rFonts w:ascii="Arial" w:hAnsi="Arial" w:cs="Arial"/>
                            <w:color w:val="000000"/>
                            <w:sz w:val="21"/>
                            <w:szCs w:val="21"/>
                          </w:rPr>
                          <w:t xml:space="preserve"> initiative and addresses gaps in previous assistance for hog producers.</w:t>
                        </w:r>
                      </w:p>
                      <w:p w14:paraId="4D609A6F" w14:textId="77777777" w:rsidR="00EA66AE" w:rsidRDefault="00EA66AE">
                        <w:pPr>
                          <w:spacing w:before="150" w:after="225"/>
                          <w:rPr>
                            <w:rFonts w:ascii="Arial" w:hAnsi="Arial" w:cs="Arial"/>
                            <w:color w:val="000000"/>
                            <w:sz w:val="21"/>
                            <w:szCs w:val="21"/>
                          </w:rPr>
                        </w:pPr>
                        <w:r>
                          <w:rPr>
                            <w:rStyle w:val="Strong"/>
                            <w:rFonts w:ascii="Arial" w:hAnsi="Arial" w:cs="Arial"/>
                            <w:color w:val="000000"/>
                            <w:sz w:val="21"/>
                            <w:szCs w:val="21"/>
                          </w:rPr>
                          <w:t xml:space="preserve">SMHPP Program Updates </w:t>
                        </w:r>
                      </w:p>
                      <w:p w14:paraId="0E118339"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When the pandemic disrupted normal marketing channels, including access to packers, producers sold their hogs through cash sales to local processors or butchers, direct sales to individuals and third-party intermediaries, including sale barns or brokers. The use of third-party intermediaries was the only available marketing alternative for many producers and are now included in SMHPP. The only direct to packer sales that are eligible for SMHPP are those through a negotiated sale. Hogs sold through a contract that includes a premium above the spot-market price or other formula such as the wholesale cut-out price remain ineligible. Hogs must be suitable and intended for slaughter to be eligible. Immature swine (pigs) are ineligible.</w:t>
                        </w:r>
                      </w:p>
                      <w:p w14:paraId="50E3CE97"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FSA will now require documentation to support the accuracy of information provided on the FSA-940 Spot Market Hog Pandemic Program application, including the number of hogs reported on the application that were sold through a spot market sale and how the price was determined for the sale.</w:t>
                        </w:r>
                      </w:p>
                      <w:p w14:paraId="4E794920"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SMHPP payments will be calculated by multiplying the number of head of eligible hogs, not to exceed 10,000 head, by the payment rate of $54 per head. To ensure SMHPP funding availability is disbursed equitably to all eligible producers, FSA will now issue payments after the application period ends. If calculated payments exceed the amount of available funding, payments will be factored.  </w:t>
                        </w:r>
                      </w:p>
                      <w:p w14:paraId="1DF73B66" w14:textId="77777777" w:rsidR="00EA66AE" w:rsidRDefault="00EA66AE">
                        <w:pPr>
                          <w:spacing w:before="150" w:after="225"/>
                          <w:rPr>
                            <w:rFonts w:ascii="Arial" w:hAnsi="Arial" w:cs="Arial"/>
                            <w:color w:val="000000"/>
                            <w:sz w:val="21"/>
                            <w:szCs w:val="21"/>
                          </w:rPr>
                        </w:pPr>
                        <w:r>
                          <w:rPr>
                            <w:rStyle w:val="Strong"/>
                            <w:rFonts w:ascii="Arial" w:hAnsi="Arial" w:cs="Arial"/>
                            <w:color w:val="000000"/>
                            <w:sz w:val="21"/>
                            <w:szCs w:val="21"/>
                          </w:rPr>
                          <w:t xml:space="preserve">Applying for Assistance  </w:t>
                        </w:r>
                      </w:p>
                      <w:p w14:paraId="30AE8BAD"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 xml:space="preserve">Eligible hog producers can apply for SMHPP </w:t>
                        </w:r>
                        <w:r>
                          <w:rPr>
                            <w:rStyle w:val="Strong"/>
                            <w:rFonts w:ascii="Arial" w:hAnsi="Arial" w:cs="Arial"/>
                            <w:color w:val="000000"/>
                            <w:sz w:val="21"/>
                            <w:szCs w:val="21"/>
                          </w:rPr>
                          <w:t>by April 29, 2022</w:t>
                        </w:r>
                        <w:r>
                          <w:rPr>
                            <w:rFonts w:ascii="Arial" w:hAnsi="Arial" w:cs="Arial"/>
                            <w:color w:val="000000"/>
                            <w:sz w:val="21"/>
                            <w:szCs w:val="21"/>
                          </w:rPr>
                          <w:t>, by completing the FSA-940, Spot Market Hog Pandemic Program application, along with required supporting documentation. Producers can visit </w:t>
                        </w:r>
                        <w:hyperlink r:id="rId16" w:history="1">
                          <w:r>
                            <w:rPr>
                              <w:rStyle w:val="Hyperlink"/>
                              <w:rFonts w:ascii="Arial" w:hAnsi="Arial" w:cs="Arial"/>
                              <w:color w:val="1953CB"/>
                              <w:sz w:val="21"/>
                              <w:szCs w:val="21"/>
                            </w:rPr>
                            <w:t>farmers.gov/</w:t>
                          </w:r>
                          <w:proofErr w:type="spellStart"/>
                          <w:r>
                            <w:rPr>
                              <w:rStyle w:val="Hyperlink"/>
                              <w:rFonts w:ascii="Arial" w:hAnsi="Arial" w:cs="Arial"/>
                              <w:color w:val="1953CB"/>
                              <w:sz w:val="21"/>
                              <w:szCs w:val="21"/>
                            </w:rPr>
                            <w:t>smhpp</w:t>
                          </w:r>
                          <w:proofErr w:type="spellEnd"/>
                        </w:hyperlink>
                        <w:r>
                          <w:rPr>
                            <w:rFonts w:ascii="Arial" w:hAnsi="Arial" w:cs="Arial"/>
                            <w:color w:val="000000"/>
                            <w:sz w:val="21"/>
                            <w:szCs w:val="21"/>
                          </w:rPr>
                          <w:t> for examples of supporting documentation, information on applicant eligibility and more information on how to apply. </w:t>
                        </w:r>
                      </w:p>
                      <w:p w14:paraId="33313A99"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lastRenderedPageBreak/>
                          <w:t xml:space="preserve">Applications can be submitted to the FSA office at any USDA Service Center nationwide by mail, fax, hand delivery or via electronic means. To find their local FSA office, producers should </w:t>
                        </w:r>
                        <w:hyperlink r:id="rId17" w:history="1">
                          <w:r>
                            <w:rPr>
                              <w:rStyle w:val="Hyperlink"/>
                              <w:rFonts w:ascii="Arial" w:hAnsi="Arial" w:cs="Arial"/>
                              <w:color w:val="1953CB"/>
                              <w:sz w:val="21"/>
                              <w:szCs w:val="21"/>
                            </w:rPr>
                            <w:t>visit farmers.gov/service-locator</w:t>
                          </w:r>
                        </w:hyperlink>
                        <w:r>
                          <w:rPr>
                            <w:rFonts w:ascii="Arial" w:hAnsi="Arial" w:cs="Arial"/>
                            <w:color w:val="000000"/>
                            <w:sz w:val="21"/>
                            <w:szCs w:val="21"/>
                          </w:rPr>
                          <w:t xml:space="preserve">. Hog producers can also call 877-508-8364 to speak directly with a USDA employee ready to </w:t>
                        </w:r>
                        <w:proofErr w:type="gramStart"/>
                        <w:r>
                          <w:rPr>
                            <w:rFonts w:ascii="Arial" w:hAnsi="Arial" w:cs="Arial"/>
                            <w:color w:val="000000"/>
                            <w:sz w:val="21"/>
                            <w:szCs w:val="21"/>
                          </w:rPr>
                          <w:t>offer assistance</w:t>
                        </w:r>
                        <w:proofErr w:type="gramEnd"/>
                        <w:r>
                          <w:rPr>
                            <w:rFonts w:ascii="Arial" w:hAnsi="Arial" w:cs="Arial"/>
                            <w:color w:val="000000"/>
                            <w:sz w:val="21"/>
                            <w:szCs w:val="21"/>
                          </w:rPr>
                          <w:t>. </w:t>
                        </w:r>
                      </w:p>
                      <w:p w14:paraId="02A1D5C1" w14:textId="77777777" w:rsidR="00EA66AE" w:rsidRDefault="00EA66AE" w:rsidP="00EA66AE">
                        <w:pPr>
                          <w:jc w:val="center"/>
                          <w:rPr>
                            <w:rFonts w:eastAsia="Times New Roman"/>
                          </w:rPr>
                        </w:pPr>
                        <w:r>
                          <w:rPr>
                            <w:rFonts w:eastAsia="Times New Roman"/>
                          </w:rPr>
                          <w:pict w14:anchorId="14F0A09E">
                            <v:rect id="_x0000_i1028" style="width:468pt;height:1.2pt" o:hralign="center" o:hrstd="t" o:hrnoshade="t" o:hr="t" fillcolor="#aaa" stroked="f"/>
                          </w:pict>
                        </w:r>
                      </w:p>
                      <w:p w14:paraId="1591FC3F" w14:textId="77777777" w:rsidR="00EA66AE" w:rsidRDefault="00EA66AE">
                        <w:pPr>
                          <w:pStyle w:val="Heading1"/>
                          <w:spacing w:before="0" w:beforeAutospacing="0" w:after="150" w:afterAutospacing="0"/>
                          <w:rPr>
                            <w:rFonts w:ascii="Arial" w:eastAsia="Times New Roman" w:hAnsi="Arial" w:cs="Arial"/>
                            <w:color w:val="000000"/>
                            <w:sz w:val="36"/>
                            <w:szCs w:val="36"/>
                          </w:rPr>
                        </w:pPr>
                        <w:bookmarkStart w:id="2" w:name="link_7"/>
                        <w:r>
                          <w:rPr>
                            <w:rFonts w:ascii="Arial" w:eastAsia="Times New Roman" w:hAnsi="Arial" w:cs="Arial"/>
                            <w:color w:val="000000"/>
                            <w:sz w:val="36"/>
                            <w:szCs w:val="36"/>
                          </w:rPr>
                          <w:t>USDA Encourages Producers to Enroll in Grassland CRP</w:t>
                        </w:r>
                        <w:bookmarkEnd w:id="2"/>
                      </w:p>
                      <w:p w14:paraId="1C86BA08"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 xml:space="preserve">The U.S. Department of Agriculture (USDA) encourages producers and landowners to enroll in the Grassland Conservation Reserve Program (CRP) starting next week </w:t>
                        </w:r>
                        <w:r>
                          <w:rPr>
                            <w:rStyle w:val="Strong"/>
                            <w:rFonts w:ascii="Arial" w:hAnsi="Arial" w:cs="Arial"/>
                            <w:color w:val="000000"/>
                            <w:sz w:val="21"/>
                            <w:szCs w:val="21"/>
                          </w:rPr>
                          <w:t>through May 13, 2022</w:t>
                        </w:r>
                        <w:r>
                          <w:rPr>
                            <w:rFonts w:ascii="Arial" w:hAnsi="Arial" w:cs="Arial"/>
                            <w:color w:val="000000"/>
                            <w:sz w:val="21"/>
                            <w:szCs w:val="21"/>
                          </w:rPr>
                          <w:t>. Grassland CRP provides a unique opportunity for farmers, ranchers, and agricultural landowners to keep land in agricultural production and supplement their income while improving their soils and permanent grass cover.   The program had its highest enrollment in history in 2021 and is part of the Biden-Harris Administration’s broader effort to equip producers with the tools they need to help address climate change and invest in the long-term health of our natural resources.</w:t>
                        </w:r>
                      </w:p>
                      <w:p w14:paraId="779B97C6" w14:textId="77777777" w:rsidR="00EA66AE" w:rsidRDefault="00EA66AE">
                        <w:pPr>
                          <w:spacing w:before="150" w:after="225"/>
                          <w:rPr>
                            <w:rFonts w:ascii="Arial" w:hAnsi="Arial" w:cs="Arial"/>
                            <w:color w:val="000000"/>
                            <w:sz w:val="21"/>
                            <w:szCs w:val="21"/>
                          </w:rPr>
                        </w:pPr>
                        <w:hyperlink r:id="rId18" w:tgtFrame="_blank" w:history="1">
                          <w:r>
                            <w:rPr>
                              <w:rStyle w:val="Hyperlink"/>
                              <w:rFonts w:ascii="Arial" w:hAnsi="Arial" w:cs="Arial"/>
                              <w:color w:val="1953CB"/>
                              <w:sz w:val="21"/>
                              <w:szCs w:val="21"/>
                            </w:rPr>
                            <w:t>Grassland CRP</w:t>
                          </w:r>
                        </w:hyperlink>
                        <w:r>
                          <w:rPr>
                            <w:rFonts w:ascii="Arial" w:hAnsi="Arial" w:cs="Arial"/>
                            <w:color w:val="000000"/>
                            <w:sz w:val="21"/>
                            <w:szCs w:val="21"/>
                          </w:rPr>
                          <w:t xml:space="preserve"> is a federally funded voluntary working lands program. Through the program, USDA’s Farm Service Agency (FSA) provides annual rental payments to landowners to maintain and conserve grasslands while allowing producers to graze, hay, and produce seed on that land.  Maintaining the existing permanent cover provides several benefits, including reducing erosion, providing wildlife habitat and migration corridors, and capturing and maintaining carbon in the soil and cover.    </w:t>
                        </w:r>
                      </w:p>
                      <w:p w14:paraId="271A8316"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FSA provides participants with annual rental payments and cost-share assistance. The annual rental rate varies by county with a national minimum rental rate of $13 per acre for this signup. Contract duration is 10 or 15 years. </w:t>
                        </w:r>
                      </w:p>
                      <w:p w14:paraId="3F23BC15" w14:textId="77777777" w:rsidR="00EA66AE" w:rsidRDefault="00EA66AE">
                        <w:pPr>
                          <w:spacing w:before="150" w:after="225"/>
                          <w:rPr>
                            <w:rFonts w:ascii="Arial" w:hAnsi="Arial" w:cs="Arial"/>
                            <w:color w:val="000000"/>
                            <w:sz w:val="21"/>
                            <w:szCs w:val="21"/>
                          </w:rPr>
                        </w:pPr>
                        <w:r>
                          <w:rPr>
                            <w:rStyle w:val="Strong"/>
                            <w:rFonts w:ascii="Arial" w:hAnsi="Arial" w:cs="Arial"/>
                            <w:color w:val="000000"/>
                            <w:sz w:val="21"/>
                            <w:szCs w:val="21"/>
                          </w:rPr>
                          <w:t>Grassland CRP National Priority Zones</w:t>
                        </w:r>
                        <w:r>
                          <w:rPr>
                            <w:rFonts w:ascii="Arial" w:hAnsi="Arial" w:cs="Arial"/>
                            <w:color w:val="000000"/>
                            <w:sz w:val="21"/>
                            <w:szCs w:val="21"/>
                          </w:rPr>
                          <w:t> </w:t>
                        </w:r>
                      </w:p>
                      <w:p w14:paraId="58F34A58"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 xml:space="preserve">Because Grassland CRP supports not only grazing operations but also biodiversity and conserving environmentally sensitive land such as that prone to wind erosion, FSA created two </w:t>
                        </w:r>
                        <w:hyperlink r:id="rId19" w:tgtFrame="_blank" w:history="1">
                          <w:r>
                            <w:rPr>
                              <w:rStyle w:val="Hyperlink"/>
                              <w:rFonts w:ascii="Arial" w:hAnsi="Arial" w:cs="Arial"/>
                              <w:color w:val="1953CB"/>
                              <w:sz w:val="21"/>
                              <w:szCs w:val="21"/>
                            </w:rPr>
                            <w:t>National Priority Zones</w:t>
                          </w:r>
                        </w:hyperlink>
                        <w:r>
                          <w:rPr>
                            <w:rFonts w:ascii="Arial" w:hAnsi="Arial" w:cs="Arial"/>
                            <w:color w:val="000000"/>
                            <w:sz w:val="21"/>
                            <w:szCs w:val="21"/>
                          </w:rPr>
                          <w:t xml:space="preserve"> in 2021: the Greater Yellowstone Migration Corridor and Dust Bowl Zone. As part of the Biden-Harris Administration’s focus on conservation in important wildlife corridors and key seasonal ranges, for this year’s signup, FSA is expanding the Greater Yellowstone Wildlife Migration Corridor Priority Zone to include seven additional counties across Montana, Wyoming, and Utah, to help protect the big-game animal migration corridor associated with Wyoming elk, mule deer, and antelope.  </w:t>
                        </w:r>
                      </w:p>
                      <w:p w14:paraId="0877EE36"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 xml:space="preserve">Offers within one of these National Priority Zones will receive an additional 15 ranking points and $5 per acre if at least 50% of the offer </w:t>
                        </w:r>
                        <w:proofErr w:type="gramStart"/>
                        <w:r>
                          <w:rPr>
                            <w:rFonts w:ascii="Arial" w:hAnsi="Arial" w:cs="Arial"/>
                            <w:color w:val="000000"/>
                            <w:sz w:val="21"/>
                            <w:szCs w:val="21"/>
                          </w:rPr>
                          <w:t>is located in</w:t>
                        </w:r>
                        <w:proofErr w:type="gramEnd"/>
                        <w:r>
                          <w:rPr>
                            <w:rFonts w:ascii="Arial" w:hAnsi="Arial" w:cs="Arial"/>
                            <w:color w:val="000000"/>
                            <w:sz w:val="21"/>
                            <w:szCs w:val="21"/>
                          </w:rPr>
                          <w:t xml:space="preserve"> the zone. </w:t>
                        </w:r>
                      </w:p>
                      <w:p w14:paraId="7BFA31BB"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Alongside Grassland CRP, producers and landowners can also enroll acres in Continuous CRP under the ongoing sign up, which includes projects available through the Conservation Reserve Enhancement Program (CREP) and State Acres for Wildlife Enhancement (SAFE).    </w:t>
                        </w:r>
                      </w:p>
                      <w:p w14:paraId="4852C1E7" w14:textId="77777777" w:rsidR="00EA66AE" w:rsidRDefault="00EA66AE">
                        <w:pPr>
                          <w:spacing w:before="150" w:after="225"/>
                          <w:rPr>
                            <w:rFonts w:ascii="Arial" w:hAnsi="Arial" w:cs="Arial"/>
                            <w:color w:val="000000"/>
                            <w:sz w:val="21"/>
                            <w:szCs w:val="21"/>
                          </w:rPr>
                        </w:pPr>
                        <w:r>
                          <w:rPr>
                            <w:rStyle w:val="Strong"/>
                            <w:rFonts w:ascii="Arial" w:hAnsi="Arial" w:cs="Arial"/>
                            <w:color w:val="000000"/>
                            <w:sz w:val="21"/>
                            <w:szCs w:val="21"/>
                          </w:rPr>
                          <w:t>Broadening Reach of Program</w:t>
                        </w:r>
                        <w:r>
                          <w:rPr>
                            <w:rFonts w:ascii="Arial" w:hAnsi="Arial" w:cs="Arial"/>
                            <w:color w:val="000000"/>
                            <w:sz w:val="21"/>
                            <w:szCs w:val="21"/>
                          </w:rPr>
                          <w:t> </w:t>
                        </w:r>
                      </w:p>
                      <w:p w14:paraId="29E59535"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lastRenderedPageBreak/>
                          <w:t>As part of the Agency’s Justice40 efforts, producers and landowners who are historically underserved, including beginning farmers and military veterans, will receive 10 additional ranking points to enhance their offers. </w:t>
                        </w:r>
                      </w:p>
                      <w:p w14:paraId="6799E75F"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 xml:space="preserve">Additionally, USDA is working to broaden the scope and reach of Grassland CRP by leveraging the </w:t>
                        </w:r>
                        <w:hyperlink r:id="rId20" w:history="1">
                          <w:r>
                            <w:rPr>
                              <w:rStyle w:val="Hyperlink"/>
                              <w:rFonts w:ascii="Arial" w:hAnsi="Arial" w:cs="Arial"/>
                              <w:color w:val="1953CB"/>
                              <w:sz w:val="21"/>
                              <w:szCs w:val="21"/>
                            </w:rPr>
                            <w:t>Conservation Reserve Enhancement Program </w:t>
                          </w:r>
                        </w:hyperlink>
                        <w:r>
                          <w:rPr>
                            <w:rFonts w:ascii="Arial" w:hAnsi="Arial" w:cs="Arial"/>
                            <w:color w:val="000000"/>
                            <w:sz w:val="21"/>
                            <w:szCs w:val="21"/>
                          </w:rPr>
                          <w:t>(CREP) to engage historically underserved communities. CREP is a partnership program that enables states, Tribal governments, non-profit, and private entities to partner with FSA to implement CRP practices and address high priority conservation and environmental objectives. Interested entities are encouraged to contact FSA. </w:t>
                        </w:r>
                      </w:p>
                      <w:p w14:paraId="164E0E8A" w14:textId="77777777" w:rsidR="00EA66AE" w:rsidRDefault="00EA66AE">
                        <w:pPr>
                          <w:spacing w:before="150" w:after="225"/>
                          <w:rPr>
                            <w:rFonts w:ascii="Arial" w:hAnsi="Arial" w:cs="Arial"/>
                            <w:color w:val="000000"/>
                            <w:sz w:val="21"/>
                            <w:szCs w:val="21"/>
                          </w:rPr>
                        </w:pPr>
                        <w:r>
                          <w:rPr>
                            <w:rStyle w:val="Strong"/>
                            <w:rFonts w:ascii="Arial" w:hAnsi="Arial" w:cs="Arial"/>
                            <w:color w:val="000000"/>
                            <w:sz w:val="21"/>
                            <w:szCs w:val="21"/>
                          </w:rPr>
                          <w:t>More Information on CRP</w:t>
                        </w:r>
                        <w:r>
                          <w:rPr>
                            <w:rFonts w:ascii="Arial" w:hAnsi="Arial" w:cs="Arial"/>
                            <w:color w:val="000000"/>
                            <w:sz w:val="21"/>
                            <w:szCs w:val="21"/>
                          </w:rPr>
                          <w:t>   </w:t>
                        </w:r>
                      </w:p>
                      <w:p w14:paraId="4B90949B"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Landowners and producers interested in Grassland CRP should contact their local </w:t>
                        </w:r>
                        <w:hyperlink r:id="rId21" w:tgtFrame="_blank" w:history="1">
                          <w:r>
                            <w:rPr>
                              <w:rStyle w:val="Hyperlink"/>
                              <w:rFonts w:ascii="Arial" w:hAnsi="Arial" w:cs="Arial"/>
                              <w:color w:val="1953CB"/>
                              <w:sz w:val="21"/>
                              <w:szCs w:val="21"/>
                            </w:rPr>
                            <w:t>USDA Service Center</w:t>
                          </w:r>
                        </w:hyperlink>
                        <w:r>
                          <w:rPr>
                            <w:rFonts w:ascii="Arial" w:hAnsi="Arial" w:cs="Arial"/>
                            <w:color w:val="000000"/>
                            <w:sz w:val="21"/>
                            <w:szCs w:val="21"/>
                          </w:rPr>
                          <w:t> to learn more or to apply for the program before the May 13 deadline.  Additionally, fact sheets and other resources are available at </w:t>
                        </w:r>
                        <w:hyperlink r:id="rId22" w:tgtFrame="_blank" w:history="1">
                          <w:r>
                            <w:rPr>
                              <w:rStyle w:val="Hyperlink"/>
                              <w:rFonts w:ascii="Arial" w:hAnsi="Arial" w:cs="Arial"/>
                              <w:color w:val="1953CB"/>
                              <w:sz w:val="21"/>
                              <w:szCs w:val="21"/>
                            </w:rPr>
                            <w:t>fsa.usda.gov/</w:t>
                          </w:r>
                          <w:proofErr w:type="spellStart"/>
                          <w:r>
                            <w:rPr>
                              <w:rStyle w:val="Hyperlink"/>
                              <w:rFonts w:ascii="Arial" w:hAnsi="Arial" w:cs="Arial"/>
                              <w:color w:val="1953CB"/>
                              <w:sz w:val="21"/>
                              <w:szCs w:val="21"/>
                            </w:rPr>
                            <w:t>crp</w:t>
                          </w:r>
                          <w:proofErr w:type="spellEnd"/>
                        </w:hyperlink>
                        <w:r>
                          <w:rPr>
                            <w:rFonts w:ascii="Arial" w:hAnsi="Arial" w:cs="Arial"/>
                            <w:color w:val="000000"/>
                            <w:sz w:val="21"/>
                            <w:szCs w:val="21"/>
                          </w:rPr>
                          <w:t>.    </w:t>
                        </w:r>
                      </w:p>
                      <w:p w14:paraId="04A1DB4C"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Signed into law in 1985, CRP is one of the largest voluntary private-lands conservation programs in the United States. The working lands signup announced today demonstrates how much it has evolved from the original program that was primarily intended to control soil erosion and only had the option to take enrolled land out of production. The program has expanded over the years and now supports a greater variety of conservation and wildlife benefits, along with the associated economic benefits.    </w:t>
                        </w:r>
                      </w:p>
                      <w:p w14:paraId="5066B60B" w14:textId="77777777" w:rsidR="00EA66AE" w:rsidRDefault="00EA66AE" w:rsidP="00EA66AE">
                        <w:pPr>
                          <w:jc w:val="center"/>
                          <w:rPr>
                            <w:rFonts w:eastAsia="Times New Roman"/>
                          </w:rPr>
                        </w:pPr>
                        <w:r>
                          <w:rPr>
                            <w:rFonts w:eastAsia="Times New Roman"/>
                          </w:rPr>
                          <w:pict w14:anchorId="6E4E824C">
                            <v:rect id="_x0000_i1029" style="width:468pt;height:1.2pt" o:hralign="center" o:hrstd="t" o:hrnoshade="t" o:hr="t" fillcolor="#aaa" stroked="f"/>
                          </w:pict>
                        </w:r>
                      </w:p>
                      <w:p w14:paraId="0F62B01F" w14:textId="77777777" w:rsidR="00EA66AE" w:rsidRDefault="00EA66AE">
                        <w:pPr>
                          <w:pStyle w:val="Heading1"/>
                          <w:spacing w:before="0" w:beforeAutospacing="0" w:after="150" w:afterAutospacing="0"/>
                          <w:rPr>
                            <w:rFonts w:ascii="Arial" w:eastAsia="Times New Roman" w:hAnsi="Arial" w:cs="Arial"/>
                            <w:color w:val="000000"/>
                            <w:sz w:val="36"/>
                            <w:szCs w:val="36"/>
                          </w:rPr>
                        </w:pPr>
                        <w:bookmarkStart w:id="3" w:name="link_1"/>
                        <w:r>
                          <w:rPr>
                            <w:rFonts w:ascii="Arial" w:eastAsia="Times New Roman" w:hAnsi="Arial" w:cs="Arial"/>
                            <w:color w:val="000000"/>
                            <w:sz w:val="36"/>
                            <w:szCs w:val="36"/>
                          </w:rPr>
                          <w:t>USDA Accepting Applications to Mitigate Wildfire Risk and Improve Forest Health in Arizona</w:t>
                        </w:r>
                        <w:bookmarkEnd w:id="3"/>
                      </w:p>
                      <w:p w14:paraId="580B4CDB"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 xml:space="preserve">The USDA Natural Resources Conservation Service is accepting applications through </w:t>
                        </w:r>
                        <w:r>
                          <w:rPr>
                            <w:rStyle w:val="Strong"/>
                            <w:rFonts w:ascii="Arial" w:hAnsi="Arial" w:cs="Arial"/>
                            <w:color w:val="000000"/>
                            <w:sz w:val="21"/>
                            <w:szCs w:val="21"/>
                          </w:rPr>
                          <w:t>April 29th</w:t>
                        </w:r>
                        <w:r>
                          <w:rPr>
                            <w:rFonts w:ascii="Arial" w:hAnsi="Arial" w:cs="Arial"/>
                            <w:color w:val="000000"/>
                            <w:sz w:val="21"/>
                            <w:szCs w:val="21"/>
                          </w:rPr>
                          <w:t xml:space="preserve"> to mitigate wildfire risk, improve water quality and restore forest ecosystems.</w:t>
                        </w:r>
                      </w:p>
                      <w:p w14:paraId="44906538"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 xml:space="preserve">Earlier this year, two new </w:t>
                        </w:r>
                        <w:hyperlink r:id="rId23" w:tgtFrame="_blank" w:history="1">
                          <w:r>
                            <w:rPr>
                              <w:rStyle w:val="Hyperlink"/>
                              <w:rFonts w:ascii="Arial" w:hAnsi="Arial" w:cs="Arial"/>
                              <w:color w:val="1953CB"/>
                              <w:sz w:val="21"/>
                              <w:szCs w:val="21"/>
                            </w:rPr>
                            <w:t>Joint Chiefs’ Landscape Restoration Partnership projects were selected</w:t>
                          </w:r>
                        </w:hyperlink>
                        <w:r>
                          <w:rPr>
                            <w:rFonts w:ascii="Arial" w:hAnsi="Arial" w:cs="Arial"/>
                            <w:color w:val="000000"/>
                            <w:sz w:val="21"/>
                            <w:szCs w:val="21"/>
                          </w:rPr>
                          <w:t xml:space="preserve"> in Arizona for the Coronado and Kaibab National Forest areas.</w:t>
                        </w:r>
                      </w:p>
                      <w:p w14:paraId="7287F241"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FY22 Joint Chiefs’ Landscape Restoration Partnership Projects:</w:t>
                        </w:r>
                      </w:p>
                      <w:p w14:paraId="64658A71" w14:textId="77777777" w:rsidR="00EA66AE" w:rsidRDefault="00EA66AE">
                        <w:pPr>
                          <w:spacing w:before="150" w:after="225"/>
                          <w:rPr>
                            <w:rFonts w:ascii="Arial" w:hAnsi="Arial" w:cs="Arial"/>
                            <w:color w:val="000000"/>
                            <w:sz w:val="21"/>
                            <w:szCs w:val="21"/>
                          </w:rPr>
                        </w:pPr>
                        <w:r>
                          <w:rPr>
                            <w:rStyle w:val="Strong"/>
                            <w:rFonts w:ascii="Arial" w:hAnsi="Arial" w:cs="Arial"/>
                            <w:color w:val="000000"/>
                            <w:sz w:val="21"/>
                            <w:szCs w:val="21"/>
                          </w:rPr>
                          <w:t>Catalina-Rincon Restoration and Fuels Mitigation</w:t>
                        </w:r>
                      </w:p>
                      <w:p w14:paraId="267D015F" w14:textId="77777777" w:rsidR="00EA66AE" w:rsidRDefault="00EA66AE">
                        <w:pPr>
                          <w:numPr>
                            <w:ilvl w:val="0"/>
                            <w:numId w:val="2"/>
                          </w:numPr>
                          <w:spacing w:before="100" w:beforeAutospacing="1" w:after="105"/>
                          <w:rPr>
                            <w:rFonts w:ascii="Arial" w:eastAsia="Times New Roman" w:hAnsi="Arial" w:cs="Arial"/>
                            <w:color w:val="000000"/>
                            <w:sz w:val="21"/>
                            <w:szCs w:val="21"/>
                          </w:rPr>
                        </w:pPr>
                        <w:hyperlink r:id="rId24" w:tgtFrame="_blank" w:history="1">
                          <w:r>
                            <w:rPr>
                              <w:rStyle w:val="Hyperlink"/>
                              <w:rFonts w:ascii="Arial" w:eastAsia="Times New Roman" w:hAnsi="Arial" w:cs="Arial"/>
                              <w:color w:val="1953CB"/>
                              <w:sz w:val="21"/>
                              <w:szCs w:val="21"/>
                            </w:rPr>
                            <w:t>Map: Catalina-Rincon Restoration and Fuels Mitigation Priority Area</w:t>
                          </w:r>
                        </w:hyperlink>
                      </w:p>
                      <w:p w14:paraId="24AA57B4" w14:textId="77777777" w:rsidR="00EA66AE" w:rsidRDefault="00EA66AE">
                        <w:pPr>
                          <w:spacing w:before="150" w:after="225"/>
                          <w:rPr>
                            <w:rFonts w:ascii="Arial" w:hAnsi="Arial" w:cs="Arial"/>
                            <w:color w:val="000000"/>
                            <w:sz w:val="21"/>
                            <w:szCs w:val="21"/>
                          </w:rPr>
                        </w:pPr>
                        <w:r>
                          <w:rPr>
                            <w:rStyle w:val="Strong"/>
                            <w:rFonts w:ascii="Arial" w:hAnsi="Arial" w:cs="Arial"/>
                            <w:color w:val="000000"/>
                            <w:sz w:val="21"/>
                            <w:szCs w:val="21"/>
                          </w:rPr>
                          <w:t>Northern Arizona Habitat Restoration and Wildfire Risk Reduction</w:t>
                        </w:r>
                      </w:p>
                      <w:p w14:paraId="35F36517" w14:textId="77777777" w:rsidR="00EA66AE" w:rsidRDefault="00EA66AE">
                        <w:pPr>
                          <w:numPr>
                            <w:ilvl w:val="0"/>
                            <w:numId w:val="3"/>
                          </w:numPr>
                          <w:spacing w:before="100" w:beforeAutospacing="1" w:after="105"/>
                          <w:rPr>
                            <w:rFonts w:ascii="Arial" w:eastAsia="Times New Roman" w:hAnsi="Arial" w:cs="Arial"/>
                            <w:color w:val="000000"/>
                            <w:sz w:val="21"/>
                            <w:szCs w:val="21"/>
                          </w:rPr>
                        </w:pPr>
                        <w:hyperlink r:id="rId25" w:tgtFrame="_blank" w:history="1">
                          <w:r>
                            <w:rPr>
                              <w:rStyle w:val="Hyperlink"/>
                              <w:rFonts w:ascii="Arial" w:eastAsia="Times New Roman" w:hAnsi="Arial" w:cs="Arial"/>
                              <w:color w:val="1953CB"/>
                              <w:sz w:val="21"/>
                              <w:szCs w:val="21"/>
                            </w:rPr>
                            <w:t>Map: Northern Arizona Habitat Restoration and Wildfire Risk Reduction Priority Area</w:t>
                          </w:r>
                        </w:hyperlink>
                      </w:p>
                      <w:p w14:paraId="5579EEE2"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Through these new three-year projects, landowners will work with local USDA experts and partners to apply targeted forestry management practices on their land, such as thinning, hazardous fuel treatments, fire breaks and other systems to meet unique forestry challenges in their area.</w:t>
                        </w:r>
                      </w:p>
                      <w:p w14:paraId="41CE318A"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lastRenderedPageBreak/>
                          <w:t xml:space="preserve">Visit the </w:t>
                        </w:r>
                        <w:hyperlink r:id="rId26" w:tgtFrame="_blank" w:history="1">
                          <w:r>
                            <w:rPr>
                              <w:rStyle w:val="Hyperlink"/>
                              <w:rFonts w:ascii="Arial" w:hAnsi="Arial" w:cs="Arial"/>
                              <w:color w:val="1953CB"/>
                              <w:sz w:val="21"/>
                              <w:szCs w:val="21"/>
                            </w:rPr>
                            <w:t>Joint Chiefs’ webpage</w:t>
                          </w:r>
                        </w:hyperlink>
                        <w:r>
                          <w:rPr>
                            <w:rFonts w:ascii="Arial" w:hAnsi="Arial" w:cs="Arial"/>
                            <w:color w:val="000000"/>
                            <w:sz w:val="21"/>
                            <w:szCs w:val="21"/>
                          </w:rPr>
                          <w:t xml:space="preserve"> for full project descriptions and information on completed projects.</w:t>
                        </w:r>
                      </w:p>
                      <w:p w14:paraId="1E4F4204"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 xml:space="preserve">Agricultural producers and forest managers interested in participating in applying for this targeted assistance should apply by </w:t>
                        </w:r>
                        <w:r>
                          <w:rPr>
                            <w:rStyle w:val="Strong"/>
                            <w:rFonts w:ascii="Arial" w:hAnsi="Arial" w:cs="Arial"/>
                            <w:color w:val="000000"/>
                            <w:sz w:val="21"/>
                            <w:szCs w:val="21"/>
                          </w:rPr>
                          <w:t>April 29, 2022</w:t>
                        </w:r>
                        <w:r>
                          <w:rPr>
                            <w:rFonts w:ascii="Arial" w:hAnsi="Arial" w:cs="Arial"/>
                            <w:color w:val="000000"/>
                            <w:sz w:val="21"/>
                            <w:szCs w:val="21"/>
                          </w:rPr>
                          <w:t xml:space="preserve">, to be considered for funding. To apply for assistance, contact NRCS at your local USDA Service Center. Find your local Service Center at </w:t>
                        </w:r>
                        <w:hyperlink r:id="rId27" w:tgtFrame="_blank" w:history="1">
                          <w:r>
                            <w:rPr>
                              <w:rStyle w:val="Hyperlink"/>
                              <w:rFonts w:ascii="Arial" w:hAnsi="Arial" w:cs="Arial"/>
                              <w:color w:val="1953CB"/>
                              <w:sz w:val="21"/>
                              <w:szCs w:val="21"/>
                            </w:rPr>
                            <w:t>www.farmers.gov/service-locator</w:t>
                          </w:r>
                        </w:hyperlink>
                        <w:r>
                          <w:rPr>
                            <w:rFonts w:ascii="Arial" w:hAnsi="Arial" w:cs="Arial"/>
                            <w:color w:val="000000"/>
                            <w:sz w:val="21"/>
                            <w:szCs w:val="21"/>
                          </w:rPr>
                          <w:t>.</w:t>
                        </w:r>
                      </w:p>
                      <w:p w14:paraId="61A466D9" w14:textId="77777777" w:rsidR="00EA66AE" w:rsidRDefault="00EA66AE">
                        <w:pPr>
                          <w:numPr>
                            <w:ilvl w:val="0"/>
                            <w:numId w:val="4"/>
                          </w:numPr>
                          <w:spacing w:before="100" w:beforeAutospacing="1" w:after="105"/>
                          <w:rPr>
                            <w:rFonts w:ascii="Arial" w:eastAsia="Times New Roman" w:hAnsi="Arial" w:cs="Arial"/>
                            <w:color w:val="000000"/>
                            <w:sz w:val="21"/>
                            <w:szCs w:val="21"/>
                          </w:rPr>
                        </w:pPr>
                        <w:hyperlink r:id="rId28" w:tgtFrame="_blank" w:history="1">
                          <w:r>
                            <w:rPr>
                              <w:rStyle w:val="Hyperlink"/>
                              <w:rFonts w:ascii="Arial" w:eastAsia="Times New Roman" w:hAnsi="Arial" w:cs="Arial"/>
                              <w:color w:val="1953CB"/>
                              <w:sz w:val="21"/>
                              <w:szCs w:val="21"/>
                            </w:rPr>
                            <w:t>JCLRP_Catalina_Rincon_Priority_Area_Map.pdf</w:t>
                          </w:r>
                        </w:hyperlink>
                      </w:p>
                      <w:p w14:paraId="7B0A7309" w14:textId="77777777" w:rsidR="00EA66AE" w:rsidRDefault="00EA66AE">
                        <w:pPr>
                          <w:numPr>
                            <w:ilvl w:val="0"/>
                            <w:numId w:val="4"/>
                          </w:numPr>
                          <w:spacing w:before="100" w:beforeAutospacing="1" w:after="105"/>
                          <w:rPr>
                            <w:rFonts w:ascii="Arial" w:eastAsia="Times New Roman" w:hAnsi="Arial" w:cs="Arial"/>
                            <w:color w:val="000000"/>
                            <w:sz w:val="21"/>
                            <w:szCs w:val="21"/>
                          </w:rPr>
                        </w:pPr>
                        <w:hyperlink r:id="rId29" w:tgtFrame="_blank" w:history="1">
                          <w:r>
                            <w:rPr>
                              <w:rStyle w:val="Hyperlink"/>
                              <w:rFonts w:ascii="Arial" w:eastAsia="Times New Roman" w:hAnsi="Arial" w:cs="Arial"/>
                              <w:color w:val="1953CB"/>
                              <w:sz w:val="21"/>
                              <w:szCs w:val="21"/>
                            </w:rPr>
                            <w:t>JCLRP_NorthernAZHabitatWildfire_Priority_Area_Map.pdf</w:t>
                          </w:r>
                        </w:hyperlink>
                      </w:p>
                      <w:p w14:paraId="5AEC292A" w14:textId="77777777" w:rsidR="00EA66AE" w:rsidRDefault="00EA66AE" w:rsidP="00EA66AE">
                        <w:pPr>
                          <w:jc w:val="center"/>
                          <w:rPr>
                            <w:rFonts w:eastAsia="Times New Roman"/>
                          </w:rPr>
                        </w:pPr>
                        <w:r>
                          <w:rPr>
                            <w:rFonts w:eastAsia="Times New Roman"/>
                          </w:rPr>
                          <w:pict w14:anchorId="54E98097">
                            <v:rect id="_x0000_i1030" style="width:468pt;height:1.2pt" o:hralign="center" o:hrstd="t" o:hrnoshade="t" o:hr="t" fillcolor="#aaa" stroked="f"/>
                          </w:pict>
                        </w:r>
                      </w:p>
                      <w:p w14:paraId="30F404B4" w14:textId="77777777" w:rsidR="00EA66AE" w:rsidRDefault="00EA66AE">
                        <w:pPr>
                          <w:pStyle w:val="Heading1"/>
                          <w:spacing w:before="0" w:beforeAutospacing="0" w:after="150" w:afterAutospacing="0"/>
                          <w:rPr>
                            <w:rFonts w:ascii="Arial" w:eastAsia="Times New Roman" w:hAnsi="Arial" w:cs="Arial"/>
                            <w:color w:val="000000"/>
                            <w:sz w:val="36"/>
                            <w:szCs w:val="36"/>
                          </w:rPr>
                        </w:pPr>
                        <w:bookmarkStart w:id="4" w:name="link_8"/>
                        <w:r>
                          <w:rPr>
                            <w:rFonts w:ascii="Arial" w:eastAsia="Times New Roman" w:hAnsi="Arial" w:cs="Arial"/>
                            <w:color w:val="000000"/>
                            <w:sz w:val="36"/>
                            <w:szCs w:val="36"/>
                          </w:rPr>
                          <w:t>USDA Offers Farmers.gov Features to Help Farmers Hire Workers</w:t>
                        </w:r>
                        <w:bookmarkEnd w:id="4"/>
                      </w:p>
                      <w:p w14:paraId="1C653C11"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 xml:space="preserve">U.S. Department of Agriculture (USDA) announced new features on the </w:t>
                        </w:r>
                        <w:hyperlink r:id="rId30" w:history="1">
                          <w:r>
                            <w:rPr>
                              <w:rStyle w:val="Hyperlink"/>
                              <w:rFonts w:ascii="Arial" w:hAnsi="Arial" w:cs="Arial"/>
                              <w:color w:val="1953CB"/>
                              <w:sz w:val="21"/>
                              <w:szCs w:val="21"/>
                            </w:rPr>
                            <w:t>farmers.gov</w:t>
                          </w:r>
                        </w:hyperlink>
                        <w:r>
                          <w:rPr>
                            <w:rFonts w:ascii="Arial" w:hAnsi="Arial" w:cs="Arial"/>
                            <w:color w:val="000000"/>
                            <w:sz w:val="21"/>
                            <w:szCs w:val="21"/>
                          </w:rPr>
                          <w:t xml:space="preserve"> website designed to help facilitate the employment of H-2A workers.</w:t>
                        </w:r>
                      </w:p>
                      <w:p w14:paraId="72BE275F"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USDA’s goal is to help farmers navigate the complex H-2A program that is administered by Department of Labor, Department of Homeland Security, and the State Department so hiring a farm worker is an easier process.</w:t>
                        </w:r>
                      </w:p>
                      <w:p w14:paraId="03F9677E"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The primary new H-2A features on Farmers.gov include:</w:t>
                        </w:r>
                      </w:p>
                      <w:p w14:paraId="1204098B" w14:textId="77777777" w:rsidR="00EA66AE" w:rsidRDefault="00EA66AE">
                        <w:pPr>
                          <w:numPr>
                            <w:ilvl w:val="0"/>
                            <w:numId w:val="5"/>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 xml:space="preserve">A real-time dashboard that enables farmers to track the status of their eligible employer application and visa applications for temporary nonimmigrant </w:t>
                        </w:r>
                        <w:proofErr w:type="gramStart"/>
                        <w:r>
                          <w:rPr>
                            <w:rFonts w:ascii="Arial" w:eastAsia="Times New Roman" w:hAnsi="Arial" w:cs="Arial"/>
                            <w:color w:val="000000"/>
                            <w:sz w:val="21"/>
                            <w:szCs w:val="21"/>
                          </w:rPr>
                          <w:t>workers;</w:t>
                        </w:r>
                        <w:proofErr w:type="gramEnd"/>
                      </w:p>
                      <w:p w14:paraId="3FEED8E3" w14:textId="77777777" w:rsidR="00EA66AE" w:rsidRDefault="00EA66AE">
                        <w:pPr>
                          <w:numPr>
                            <w:ilvl w:val="0"/>
                            <w:numId w:val="5"/>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 xml:space="preserve">Streamlining the login information so if a farmer has an existing login.gov account they can save multiple applications tracking numbers for quick look-up at any </w:t>
                        </w:r>
                        <w:proofErr w:type="gramStart"/>
                        <w:r>
                          <w:rPr>
                            <w:rFonts w:ascii="Arial" w:eastAsia="Times New Roman" w:hAnsi="Arial" w:cs="Arial"/>
                            <w:color w:val="000000"/>
                            <w:sz w:val="21"/>
                            <w:szCs w:val="21"/>
                          </w:rPr>
                          <w:t>time;</w:t>
                        </w:r>
                        <w:proofErr w:type="gramEnd"/>
                      </w:p>
                      <w:p w14:paraId="49034991" w14:textId="77777777" w:rsidR="00EA66AE" w:rsidRDefault="00EA66AE">
                        <w:pPr>
                          <w:numPr>
                            <w:ilvl w:val="0"/>
                            <w:numId w:val="5"/>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Enables easy access to the Department of Labor’s (DOL) Foreign Labor Application Gateway (FLAG</w:t>
                        </w:r>
                        <w:proofErr w:type="gramStart"/>
                        <w:r>
                          <w:rPr>
                            <w:rFonts w:ascii="Arial" w:eastAsia="Times New Roman" w:hAnsi="Arial" w:cs="Arial"/>
                            <w:color w:val="000000"/>
                            <w:sz w:val="21"/>
                            <w:szCs w:val="21"/>
                          </w:rPr>
                          <w:t>);</w:t>
                        </w:r>
                        <w:proofErr w:type="gramEnd"/>
                      </w:p>
                      <w:p w14:paraId="1E2A15FF" w14:textId="77777777" w:rsidR="00EA66AE" w:rsidRDefault="00EA66AE">
                        <w:pPr>
                          <w:numPr>
                            <w:ilvl w:val="0"/>
                            <w:numId w:val="5"/>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 xml:space="preserve">Allows farmers to track time-sensitive actions taken in the course of Office of Foreign Labor Certification’s (OFLC) adjudication of temporary labor certification </w:t>
                        </w:r>
                        <w:proofErr w:type="gramStart"/>
                        <w:r>
                          <w:rPr>
                            <w:rFonts w:ascii="Arial" w:eastAsia="Times New Roman" w:hAnsi="Arial" w:cs="Arial"/>
                            <w:color w:val="000000"/>
                            <w:sz w:val="21"/>
                            <w:szCs w:val="21"/>
                          </w:rPr>
                          <w:t>applications;</w:t>
                        </w:r>
                        <w:proofErr w:type="gramEnd"/>
                      </w:p>
                      <w:p w14:paraId="4F9A94B4" w14:textId="77777777" w:rsidR="00EA66AE" w:rsidRDefault="00EA66AE">
                        <w:pPr>
                          <w:numPr>
                            <w:ilvl w:val="0"/>
                            <w:numId w:val="5"/>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Allowing for farmers to access all application forms on-line.</w:t>
                        </w:r>
                      </w:p>
                      <w:p w14:paraId="784798A6"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 xml:space="preserve">All information can be found at </w:t>
                        </w:r>
                        <w:hyperlink r:id="rId31" w:history="1">
                          <w:r>
                            <w:rPr>
                              <w:rStyle w:val="Hyperlink"/>
                              <w:rFonts w:ascii="Arial" w:hAnsi="Arial" w:cs="Arial"/>
                              <w:color w:val="1953CB"/>
                              <w:sz w:val="21"/>
                              <w:szCs w:val="21"/>
                            </w:rPr>
                            <w:t>www.farmers.gov/manage/h2a</w:t>
                          </w:r>
                        </w:hyperlink>
                        <w:r>
                          <w:rPr>
                            <w:rFonts w:ascii="Arial" w:hAnsi="Arial" w:cs="Arial"/>
                            <w:color w:val="000000"/>
                            <w:sz w:val="21"/>
                            <w:szCs w:val="21"/>
                          </w:rPr>
                          <w:t>.</w:t>
                        </w:r>
                      </w:p>
                      <w:p w14:paraId="6DB821A5"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In 2018, USDA unveiled</w:t>
                        </w:r>
                        <w:r>
                          <w:rPr>
                            <w:rFonts w:ascii="Arial" w:hAnsi="Arial" w:cs="Arial"/>
                            <w:color w:val="000000"/>
                            <w:sz w:val="21"/>
                            <w:szCs w:val="21"/>
                            <w:u w:val="single"/>
                          </w:rPr>
                          <w:t xml:space="preserve"> farmers.gov</w:t>
                        </w:r>
                        <w:r>
                          <w:rPr>
                            <w:rFonts w:ascii="Arial" w:hAnsi="Arial" w:cs="Arial"/>
                            <w:color w:val="000000"/>
                            <w:sz w:val="21"/>
                            <w:szCs w:val="21"/>
                          </w:rPr>
                          <w:t xml:space="preserve">, a dynamic, mobile-friendly public website combined with an authenticated portal where customers can apply for programs, process </w:t>
                        </w:r>
                        <w:proofErr w:type="gramStart"/>
                        <w:r>
                          <w:rPr>
                            <w:rFonts w:ascii="Arial" w:hAnsi="Arial" w:cs="Arial"/>
                            <w:color w:val="000000"/>
                            <w:sz w:val="21"/>
                            <w:szCs w:val="21"/>
                          </w:rPr>
                          <w:t>transactions</w:t>
                        </w:r>
                        <w:proofErr w:type="gramEnd"/>
                        <w:r>
                          <w:rPr>
                            <w:rFonts w:ascii="Arial" w:hAnsi="Arial" w:cs="Arial"/>
                            <w:color w:val="000000"/>
                            <w:sz w:val="21"/>
                            <w:szCs w:val="21"/>
                          </w:rPr>
                          <w:t xml:space="preserve"> and manage accounts. With feedback from customers and field employees who serve those customers, </w:t>
                        </w:r>
                        <w:hyperlink r:id="rId32" w:history="1">
                          <w:r>
                            <w:rPr>
                              <w:rStyle w:val="Hyperlink"/>
                              <w:rFonts w:ascii="Arial" w:hAnsi="Arial" w:cs="Arial"/>
                              <w:color w:val="1953CB"/>
                              <w:sz w:val="21"/>
                              <w:szCs w:val="21"/>
                            </w:rPr>
                            <w:t>farmers.gov</w:t>
                          </w:r>
                        </w:hyperlink>
                        <w:r>
                          <w:rPr>
                            <w:rFonts w:ascii="Arial" w:hAnsi="Arial" w:cs="Arial"/>
                            <w:color w:val="000000"/>
                            <w:sz w:val="21"/>
                            <w:szCs w:val="21"/>
                          </w:rPr>
                          <w:t xml:space="preserve"> delivers farmer-focused features through an agile, iterative process to deliver the greatest immediate value to America’s agricultural producers – helping farmers and ranchers do right, and feed everyone.</w:t>
                        </w:r>
                      </w:p>
                      <w:p w14:paraId="4BEFB532" w14:textId="77777777" w:rsidR="00EA66AE" w:rsidRDefault="00EA66AE" w:rsidP="00EA66AE">
                        <w:pPr>
                          <w:jc w:val="center"/>
                          <w:rPr>
                            <w:rFonts w:eastAsia="Times New Roman"/>
                          </w:rPr>
                        </w:pPr>
                        <w:r>
                          <w:rPr>
                            <w:rFonts w:eastAsia="Times New Roman"/>
                          </w:rPr>
                          <w:pict w14:anchorId="1CF6F8C0">
                            <v:rect id="_x0000_i1031" style="width:468pt;height:1.2pt" o:hralign="center" o:hrstd="t" o:hrnoshade="t" o:hr="t" fillcolor="#aaa" stroked="f"/>
                          </w:pict>
                        </w:r>
                      </w:p>
                      <w:p w14:paraId="46071B8D" w14:textId="77777777" w:rsidR="00EA66AE" w:rsidRDefault="00EA66AE">
                        <w:pPr>
                          <w:pStyle w:val="Heading1"/>
                          <w:spacing w:before="0" w:beforeAutospacing="0" w:after="150" w:afterAutospacing="0"/>
                          <w:rPr>
                            <w:rFonts w:ascii="Arial" w:eastAsia="Times New Roman" w:hAnsi="Arial" w:cs="Arial"/>
                            <w:color w:val="000000"/>
                            <w:sz w:val="36"/>
                            <w:szCs w:val="36"/>
                          </w:rPr>
                        </w:pPr>
                        <w:bookmarkStart w:id="5" w:name="link_6"/>
                        <w:r>
                          <w:rPr>
                            <w:rFonts w:ascii="Arial" w:eastAsia="Times New Roman" w:hAnsi="Arial" w:cs="Arial"/>
                            <w:color w:val="000000"/>
                            <w:sz w:val="36"/>
                            <w:szCs w:val="36"/>
                          </w:rPr>
                          <w:t xml:space="preserve">Ask the Expert: A Farm Operating Loan Q&amp;A with Jack </w:t>
                        </w:r>
                        <w:proofErr w:type="spellStart"/>
                        <w:r>
                          <w:rPr>
                            <w:rFonts w:ascii="Arial" w:eastAsia="Times New Roman" w:hAnsi="Arial" w:cs="Arial"/>
                            <w:color w:val="000000"/>
                            <w:sz w:val="36"/>
                            <w:szCs w:val="36"/>
                          </w:rPr>
                          <w:t>Carlile</w:t>
                        </w:r>
                        <w:bookmarkEnd w:id="5"/>
                        <w:proofErr w:type="spellEnd"/>
                      </w:p>
                      <w:p w14:paraId="19B8C8A4"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lastRenderedPageBreak/>
                          <w:t xml:space="preserve">In this Ask the Expert, Jack </w:t>
                        </w:r>
                        <w:proofErr w:type="spellStart"/>
                        <w:r>
                          <w:rPr>
                            <w:rFonts w:ascii="Arial" w:hAnsi="Arial" w:cs="Arial"/>
                            <w:color w:val="000000"/>
                            <w:sz w:val="21"/>
                            <w:szCs w:val="21"/>
                          </w:rPr>
                          <w:t>Carlile</w:t>
                        </w:r>
                        <w:proofErr w:type="spellEnd"/>
                        <w:r>
                          <w:rPr>
                            <w:rFonts w:ascii="Arial" w:hAnsi="Arial" w:cs="Arial"/>
                            <w:color w:val="000000"/>
                            <w:sz w:val="21"/>
                            <w:szCs w:val="21"/>
                          </w:rPr>
                          <w:t xml:space="preserve">, Farm Loan Manager for the USDA Farm Service Agency (FSA), answers questions about farm operating loans and when producers should apply </w:t>
                        </w:r>
                        <w:proofErr w:type="gramStart"/>
                        <w:r>
                          <w:rPr>
                            <w:rFonts w:ascii="Arial" w:hAnsi="Arial" w:cs="Arial"/>
                            <w:color w:val="000000"/>
                            <w:sz w:val="21"/>
                            <w:szCs w:val="21"/>
                          </w:rPr>
                          <w:t>in order to</w:t>
                        </w:r>
                        <w:proofErr w:type="gramEnd"/>
                        <w:r>
                          <w:rPr>
                            <w:rFonts w:ascii="Arial" w:hAnsi="Arial" w:cs="Arial"/>
                            <w:color w:val="000000"/>
                            <w:sz w:val="21"/>
                            <w:szCs w:val="21"/>
                          </w:rPr>
                          <w:t xml:space="preserve"> secure funds for the current crop year.</w:t>
                        </w:r>
                      </w:p>
                      <w:p w14:paraId="60F5FBF1"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As the Farm Loan Manager for the Cherokee County Service Center, Jack is responsible for managing the loan making and loan servicing activities for five counties in northeast Oklahoma.  His office provides services for over 650 farm loan customers. Jack was raised on a cross bred cow/calf operation that his grandparents started. Over the years, each generation has added to the operation by purchasing additional pasture. The operation also grows and bales their own hay. Jack’s agriculture background and degree in agriculture economics from Oklahoma State University help him better understand the financing needs of his producers.</w:t>
                        </w:r>
                      </w:p>
                      <w:p w14:paraId="57CF2783"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Who can apply for FSA Farm Loans?</w:t>
                        </w:r>
                      </w:p>
                      <w:p w14:paraId="412BBA0F"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Anyone can apply for FSA’s loan programs. Applications will be considered on basic eligibility requirements. To apply for a loan, you must meet the following general eligibility requirements including:</w:t>
                        </w:r>
                      </w:p>
                      <w:p w14:paraId="458DB9C0" w14:textId="77777777" w:rsidR="00EA66AE" w:rsidRDefault="00EA66AE">
                        <w:pPr>
                          <w:numPr>
                            <w:ilvl w:val="0"/>
                            <w:numId w:val="6"/>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Be a U.S. citizen or qualified alien.</w:t>
                        </w:r>
                      </w:p>
                      <w:p w14:paraId="691BCE98" w14:textId="77777777" w:rsidR="00EA66AE" w:rsidRDefault="00EA66AE">
                        <w:pPr>
                          <w:numPr>
                            <w:ilvl w:val="0"/>
                            <w:numId w:val="6"/>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Operator of a family farm or ranch.</w:t>
                        </w:r>
                      </w:p>
                      <w:p w14:paraId="6AD180DF" w14:textId="77777777" w:rsidR="00EA66AE" w:rsidRDefault="00EA66AE">
                        <w:pPr>
                          <w:numPr>
                            <w:ilvl w:val="0"/>
                            <w:numId w:val="6"/>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Have a satisfactory credit history.</w:t>
                        </w:r>
                      </w:p>
                      <w:p w14:paraId="0249DB2F" w14:textId="77777777" w:rsidR="00EA66AE" w:rsidRDefault="00EA66AE">
                        <w:pPr>
                          <w:numPr>
                            <w:ilvl w:val="0"/>
                            <w:numId w:val="6"/>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Unable to obtain credit elsewhere at reasonable rates and terms to meet actual needs.</w:t>
                        </w:r>
                      </w:p>
                      <w:p w14:paraId="666A4A67" w14:textId="77777777" w:rsidR="00EA66AE" w:rsidRDefault="00EA66AE">
                        <w:pPr>
                          <w:numPr>
                            <w:ilvl w:val="0"/>
                            <w:numId w:val="6"/>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Not be delinquent on any federal debts.</w:t>
                        </w:r>
                      </w:p>
                      <w:p w14:paraId="16B53155"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What can I purchase with operating loans?</w:t>
                        </w:r>
                      </w:p>
                      <w:p w14:paraId="4032412D"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Farm Operating Loans are traditionally used for purchasing capital items such as farm machinery, equipment, or livestock.  Loan funds can also be used to help pay typical operating expenses for farming and ranching operations. For example, a rancher may use an operating loan to purchase forage for his cattle to feed them through the winter or a row crop producer may use an operating loan for paying for inputs like seed or fertilizer. </w:t>
                        </w:r>
                      </w:p>
                      <w:p w14:paraId="62FB3722"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What is the maximum loan amount and terms?</w:t>
                        </w:r>
                      </w:p>
                      <w:p w14:paraId="5A7F00BF"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The maximum loan amount for a Direct Farm Operating Loan is $400,000. Direct loans are made and serviced by FSA.</w:t>
                        </w:r>
                      </w:p>
                      <w:p w14:paraId="554C80B8"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 xml:space="preserve">Producers can also apply for Guaranteed Operating Loans that are made by your commercial </w:t>
                        </w:r>
                        <w:proofErr w:type="gramStart"/>
                        <w:r>
                          <w:rPr>
                            <w:rFonts w:ascii="Arial" w:hAnsi="Arial" w:cs="Arial"/>
                            <w:color w:val="000000"/>
                            <w:sz w:val="21"/>
                            <w:szCs w:val="21"/>
                          </w:rPr>
                          <w:t>lender, and</w:t>
                        </w:r>
                        <w:proofErr w:type="gramEnd"/>
                        <w:r>
                          <w:rPr>
                            <w:rFonts w:ascii="Arial" w:hAnsi="Arial" w:cs="Arial"/>
                            <w:color w:val="000000"/>
                            <w:sz w:val="21"/>
                            <w:szCs w:val="21"/>
                          </w:rPr>
                          <w:t xml:space="preserve"> guaranteed against loss by FSA. The maximum loan amount for a Guaranteed Farm Operating Loan is $1,825,000. Loan terms for operating loans range from one to seven years.</w:t>
                        </w:r>
                      </w:p>
                      <w:p w14:paraId="72F2EACF"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How do I apply?</w:t>
                        </w:r>
                      </w:p>
                      <w:p w14:paraId="6C26EA7A"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If you’re interested in applying for a farm loan, you can pick up an application by visiting your local FSA office. Visit farmers.gov to find the USDA Service Center nearest you. </w:t>
                        </w:r>
                      </w:p>
                      <w:p w14:paraId="2BFE3E16"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When applying for a loan, you will need a business plan, which must include:</w:t>
                        </w:r>
                      </w:p>
                      <w:p w14:paraId="53A09DE5"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lastRenderedPageBreak/>
                          <w:t>Your mission, vision, and goals for your farm or ranch.</w:t>
                        </w:r>
                        <w:r>
                          <w:rPr>
                            <w:rFonts w:ascii="Arial" w:hAnsi="Arial" w:cs="Arial"/>
                            <w:color w:val="000000"/>
                            <w:sz w:val="21"/>
                            <w:szCs w:val="21"/>
                          </w:rPr>
                          <w:br/>
                          <w:t>Your current assets and liabilities.</w:t>
                        </w:r>
                        <w:r>
                          <w:rPr>
                            <w:rFonts w:ascii="Arial" w:hAnsi="Arial" w:cs="Arial"/>
                            <w:color w:val="000000"/>
                            <w:sz w:val="21"/>
                            <w:szCs w:val="21"/>
                          </w:rPr>
                          <w:br/>
                          <w:t>Marketing Plan (what your operation will produce and where you will market and sell your products.)</w:t>
                        </w:r>
                        <w:r>
                          <w:rPr>
                            <w:rFonts w:ascii="Arial" w:hAnsi="Arial" w:cs="Arial"/>
                            <w:color w:val="000000"/>
                            <w:sz w:val="21"/>
                            <w:szCs w:val="21"/>
                          </w:rPr>
                          <w:br/>
                          <w:t>Whether the amount of income your operation generates will be enough to pay your business and family living expenses.</w:t>
                        </w:r>
                      </w:p>
                      <w:p w14:paraId="53D6341B"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When should I apply for an operating loan?</w:t>
                        </w:r>
                      </w:p>
                      <w:p w14:paraId="5B99C873"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I would recommend beginning the application process a few months in advance of needing the funds to allow time for the request to be processed, and for any necessary security checks and searches to be completed.  That allows time for the funds to be available for your use when most needed. </w:t>
                        </w:r>
                      </w:p>
                      <w:p w14:paraId="35ABB90C"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Where can I find more information?</w:t>
                        </w:r>
                      </w:p>
                      <w:p w14:paraId="17E6CFF6" w14:textId="77777777" w:rsidR="00EA66AE" w:rsidRDefault="00EA66AE">
                        <w:pPr>
                          <w:spacing w:before="150" w:after="225"/>
                          <w:rPr>
                            <w:rFonts w:ascii="Arial" w:hAnsi="Arial" w:cs="Arial"/>
                            <w:color w:val="000000"/>
                            <w:sz w:val="21"/>
                            <w:szCs w:val="21"/>
                          </w:rPr>
                        </w:pPr>
                        <w:r>
                          <w:rPr>
                            <w:rFonts w:ascii="Arial" w:hAnsi="Arial" w:cs="Arial"/>
                            <w:color w:val="000000"/>
                            <w:sz w:val="21"/>
                            <w:szCs w:val="21"/>
                          </w:rPr>
                          <w:t>To learn more about FSA loans visit farmers.gov/loans or fsa.usda.gov/farmloans.  Fact sheets and application packages are also available at your USDA Service Center. To learn more about other types of FSA loans or to find the right loan for your operation, use the Farm Loan Discovery Tool by visiting farmers.gov/loans/farm-loan-discovery-tool.</w:t>
                        </w:r>
                      </w:p>
                      <w:p w14:paraId="0CC4D89A" w14:textId="77777777" w:rsidR="00EA66AE" w:rsidRDefault="00EA66AE" w:rsidP="00EA66AE">
                        <w:pPr>
                          <w:jc w:val="center"/>
                          <w:rPr>
                            <w:rFonts w:eastAsia="Times New Roman"/>
                          </w:rPr>
                        </w:pPr>
                        <w:r>
                          <w:rPr>
                            <w:rFonts w:eastAsia="Times New Roman"/>
                          </w:rPr>
                          <w:pict w14:anchorId="49B193B3">
                            <v:rect id="_x0000_i1032" style="width:468pt;height:1.2pt" o:hralign="center" o:hrstd="t" o:hrnoshade="t" o:hr="t" fillcolor="#aaa" stroked="f"/>
                          </w:pict>
                        </w:r>
                      </w:p>
                    </w:tc>
                  </w:tr>
                  <w:tr w:rsidR="00EA66AE" w14:paraId="6BA09722" w14:textId="77777777">
                    <w:trPr>
                      <w:jc w:val="center"/>
                    </w:trPr>
                    <w:tc>
                      <w:tcPr>
                        <w:tcW w:w="5000" w:type="pct"/>
                        <w:shd w:val="clear" w:color="auto" w:fill="FFFFFF"/>
                        <w:vAlign w:val="center"/>
                        <w:hideMark/>
                      </w:tcPr>
                      <w:p w14:paraId="49415D2E" w14:textId="77777777" w:rsidR="00EA66AE" w:rsidRDefault="00EA66AE">
                        <w:pPr>
                          <w:jc w:val="center"/>
                          <w:rPr>
                            <w:rFonts w:eastAsia="Times New Roman"/>
                          </w:rPr>
                        </w:pPr>
                      </w:p>
                    </w:tc>
                  </w:tr>
                  <w:tr w:rsidR="00EA66AE" w14:paraId="5C635306" w14:textId="77777777">
                    <w:trPr>
                      <w:jc w:val="center"/>
                    </w:trPr>
                    <w:tc>
                      <w:tcPr>
                        <w:tcW w:w="5000" w:type="pct"/>
                        <w:shd w:val="clear" w:color="auto" w:fill="006937"/>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EA66AE" w14:paraId="575B1CFD" w14:textId="77777777">
                          <w:tc>
                            <w:tcPr>
                              <w:tcW w:w="0" w:type="auto"/>
                              <w:vAlign w:val="center"/>
                              <w:hideMark/>
                            </w:tcPr>
                            <w:p w14:paraId="0AD2E300" w14:textId="6D28AFBF" w:rsidR="00EA66AE" w:rsidRDefault="00EA66AE">
                              <w:pPr>
                                <w:jc w:val="center"/>
                                <w:rPr>
                                  <w:rFonts w:eastAsia="Times New Roman"/>
                                </w:rPr>
                              </w:pPr>
                              <w:r>
                                <w:rPr>
                                  <w:rFonts w:eastAsia="Times New Roman"/>
                                  <w:noProof/>
                                </w:rPr>
                                <w:drawing>
                                  <wp:inline distT="0" distB="0" distL="0" distR="0" wp14:anchorId="3C7C0B7A" wp14:editId="5CF9907B">
                                    <wp:extent cx="518160"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160" cy="480060"/>
                                            </a:xfrm>
                                            <a:prstGeom prst="rect">
                                              <a:avLst/>
                                            </a:prstGeom>
                                            <a:noFill/>
                                            <a:ln>
                                              <a:noFill/>
                                            </a:ln>
                                          </pic:spPr>
                                        </pic:pic>
                                      </a:graphicData>
                                    </a:graphic>
                                  </wp:inline>
                                </w:drawing>
                              </w:r>
                            </w:p>
                          </w:tc>
                        </w:tr>
                      </w:tbl>
                      <w:p w14:paraId="5D73F345" w14:textId="77777777" w:rsidR="00EA66AE" w:rsidRDefault="00EA66AE">
                        <w:pPr>
                          <w:pStyle w:val="Heading1"/>
                          <w:spacing w:before="0" w:beforeAutospacing="0" w:after="150" w:afterAutospacing="0"/>
                          <w:jc w:val="center"/>
                          <w:rPr>
                            <w:rFonts w:ascii="Arial" w:eastAsia="Times New Roman" w:hAnsi="Arial" w:cs="Arial"/>
                            <w:color w:val="FFFFFF"/>
                            <w:sz w:val="30"/>
                            <w:szCs w:val="30"/>
                          </w:rPr>
                        </w:pPr>
                        <w:r>
                          <w:rPr>
                            <w:rFonts w:ascii="Arial" w:eastAsia="Times New Roman" w:hAnsi="Arial" w:cs="Arial"/>
                            <w:color w:val="FFFFFF"/>
                            <w:sz w:val="30"/>
                            <w:szCs w:val="30"/>
                          </w:rPr>
                          <w:br/>
                          <w:t>Arizona / FPAC USDA</w:t>
                        </w:r>
                      </w:p>
                      <w:p w14:paraId="44488458" w14:textId="77777777" w:rsidR="00EA66AE" w:rsidRDefault="00EA66AE">
                        <w:pPr>
                          <w:spacing w:before="150" w:after="225"/>
                          <w:jc w:val="center"/>
                          <w:rPr>
                            <w:rFonts w:ascii="Arial" w:hAnsi="Arial" w:cs="Arial"/>
                            <w:color w:val="FFFFFF"/>
                            <w:sz w:val="21"/>
                            <w:szCs w:val="21"/>
                          </w:rPr>
                        </w:pPr>
                        <w:r>
                          <w:rPr>
                            <w:rFonts w:ascii="Arial" w:hAnsi="Arial" w:cs="Arial"/>
                            <w:color w:val="FFFFFF"/>
                            <w:sz w:val="21"/>
                            <w:szCs w:val="21"/>
                          </w:rPr>
                          <w:t>230 N. 1st Avenue, Suite 506/509</w:t>
                        </w:r>
                        <w:r>
                          <w:rPr>
                            <w:rFonts w:ascii="Arial" w:hAnsi="Arial" w:cs="Arial"/>
                            <w:color w:val="FFFFFF"/>
                            <w:sz w:val="21"/>
                            <w:szCs w:val="21"/>
                          </w:rPr>
                          <w:br/>
                          <w:t>Phoenix, Arizona 85003-1726   </w:t>
                        </w:r>
                      </w:p>
                      <w:p w14:paraId="2D09FB7D" w14:textId="77777777" w:rsidR="00EA66AE" w:rsidRDefault="00EA66AE">
                        <w:pPr>
                          <w:spacing w:before="150" w:after="225"/>
                          <w:jc w:val="center"/>
                          <w:rPr>
                            <w:rFonts w:ascii="Arial" w:hAnsi="Arial" w:cs="Arial"/>
                            <w:color w:val="FFFFFF"/>
                            <w:sz w:val="21"/>
                            <w:szCs w:val="21"/>
                          </w:rPr>
                        </w:pPr>
                        <w:r>
                          <w:rPr>
                            <w:rFonts w:ascii="Arial" w:hAnsi="Arial" w:cs="Arial"/>
                            <w:color w:val="FFFFFF"/>
                            <w:sz w:val="21"/>
                            <w:szCs w:val="21"/>
                          </w:rPr>
                          <w:t> </w:t>
                        </w:r>
                      </w:p>
                      <w:tbl>
                        <w:tblPr>
                          <w:tblW w:w="5000" w:type="pct"/>
                          <w:tblLook w:val="04A0" w:firstRow="1" w:lastRow="0" w:firstColumn="1" w:lastColumn="0" w:noHBand="0" w:noVBand="1"/>
                        </w:tblPr>
                        <w:tblGrid>
                          <w:gridCol w:w="4200"/>
                          <w:gridCol w:w="4200"/>
                        </w:tblGrid>
                        <w:tr w:rsidR="00EA66AE" w14:paraId="1FA55D14" w14:textId="77777777">
                          <w:tc>
                            <w:tcPr>
                              <w:tcW w:w="2500" w:type="pct"/>
                              <w:tcMar>
                                <w:top w:w="15" w:type="dxa"/>
                                <w:left w:w="15" w:type="dxa"/>
                                <w:bottom w:w="15" w:type="dxa"/>
                                <w:right w:w="15" w:type="dxa"/>
                              </w:tcMar>
                              <w:vAlign w:val="center"/>
                              <w:hideMark/>
                            </w:tcPr>
                            <w:p w14:paraId="7301A3E1" w14:textId="77777777" w:rsidR="00EA66AE" w:rsidRDefault="00EA66AE">
                              <w:pPr>
                                <w:spacing w:before="150" w:after="225"/>
                                <w:rPr>
                                  <w:rFonts w:ascii="Arial" w:hAnsi="Arial" w:cs="Arial"/>
                                  <w:color w:val="FFFFFF"/>
                                  <w:sz w:val="21"/>
                                  <w:szCs w:val="21"/>
                                </w:rPr>
                              </w:pPr>
                              <w:r>
                                <w:rPr>
                                  <w:rStyle w:val="Strong"/>
                                  <w:rFonts w:ascii="Arial" w:hAnsi="Arial" w:cs="Arial"/>
                                  <w:color w:val="FFFFFF"/>
                                  <w:sz w:val="21"/>
                                  <w:szCs w:val="21"/>
                                </w:rPr>
                                <w:t>Arizona Farm Service Agency</w:t>
                              </w:r>
                            </w:p>
                            <w:p w14:paraId="20F8D4CB" w14:textId="77777777" w:rsidR="00EA66AE" w:rsidRDefault="00EA66AE">
                              <w:pPr>
                                <w:spacing w:before="150" w:after="225"/>
                                <w:rPr>
                                  <w:rFonts w:ascii="Arial" w:hAnsi="Arial" w:cs="Arial"/>
                                  <w:color w:val="FFFFFF"/>
                                  <w:sz w:val="21"/>
                                  <w:szCs w:val="21"/>
                                </w:rPr>
                              </w:pPr>
                              <w:r>
                                <w:rPr>
                                  <w:rFonts w:ascii="Arial" w:hAnsi="Arial" w:cs="Arial"/>
                                  <w:color w:val="FFFFFF"/>
                                  <w:sz w:val="21"/>
                                  <w:szCs w:val="21"/>
                                </w:rPr>
                                <w:t> Phoenix Office: 602-285-6300</w:t>
                              </w:r>
                            </w:p>
                            <w:p w14:paraId="05083283" w14:textId="77777777" w:rsidR="00EA66AE" w:rsidRDefault="00EA66AE">
                              <w:pPr>
                                <w:spacing w:before="150" w:after="225"/>
                                <w:rPr>
                                  <w:rFonts w:ascii="Arial" w:hAnsi="Arial" w:cs="Arial"/>
                                  <w:color w:val="FFFFFF"/>
                                  <w:sz w:val="21"/>
                                  <w:szCs w:val="21"/>
                                </w:rPr>
                              </w:pPr>
                              <w:r>
                                <w:rPr>
                                  <w:rFonts w:ascii="Arial" w:hAnsi="Arial" w:cs="Arial"/>
                                  <w:color w:val="FFFFFF"/>
                                  <w:sz w:val="21"/>
                                  <w:szCs w:val="21"/>
                                </w:rPr>
                                <w:t> </w:t>
                              </w:r>
                            </w:p>
                          </w:tc>
                          <w:tc>
                            <w:tcPr>
                              <w:tcW w:w="2500" w:type="pct"/>
                              <w:tcMar>
                                <w:top w:w="15" w:type="dxa"/>
                                <w:left w:w="15" w:type="dxa"/>
                                <w:bottom w:w="15" w:type="dxa"/>
                                <w:right w:w="15" w:type="dxa"/>
                              </w:tcMar>
                              <w:vAlign w:val="center"/>
                              <w:hideMark/>
                            </w:tcPr>
                            <w:p w14:paraId="26867900" w14:textId="77777777" w:rsidR="00EA66AE" w:rsidRDefault="00EA66AE">
                              <w:pPr>
                                <w:spacing w:before="150" w:after="225"/>
                                <w:rPr>
                                  <w:rFonts w:ascii="Arial" w:hAnsi="Arial" w:cs="Arial"/>
                                  <w:color w:val="FFFFFF"/>
                                  <w:sz w:val="21"/>
                                  <w:szCs w:val="21"/>
                                </w:rPr>
                              </w:pPr>
                              <w:r>
                                <w:rPr>
                                  <w:rStyle w:val="Strong"/>
                                  <w:rFonts w:ascii="Arial" w:hAnsi="Arial" w:cs="Arial"/>
                                  <w:color w:val="FFFFFF"/>
                                  <w:sz w:val="21"/>
                                  <w:szCs w:val="21"/>
                                </w:rPr>
                                <w:t>Arizona Natural Resource Conservation Service</w:t>
                              </w:r>
                            </w:p>
                            <w:p w14:paraId="0FDCAB54" w14:textId="77777777" w:rsidR="00EA66AE" w:rsidRDefault="00EA66AE">
                              <w:pPr>
                                <w:spacing w:before="150" w:after="225"/>
                                <w:rPr>
                                  <w:rFonts w:ascii="Arial" w:hAnsi="Arial" w:cs="Arial"/>
                                  <w:color w:val="FFFFFF"/>
                                  <w:sz w:val="21"/>
                                  <w:szCs w:val="21"/>
                                </w:rPr>
                              </w:pPr>
                              <w:r>
                                <w:rPr>
                                  <w:rFonts w:ascii="Arial" w:hAnsi="Arial" w:cs="Arial"/>
                                  <w:color w:val="FFFFFF"/>
                                  <w:sz w:val="21"/>
                                  <w:szCs w:val="21"/>
                                </w:rPr>
                                <w:t> Phoenix Office: 602-280-8801</w:t>
                              </w:r>
                            </w:p>
                          </w:tc>
                        </w:tr>
                        <w:tr w:rsidR="00EA66AE" w14:paraId="54777465" w14:textId="77777777">
                          <w:tc>
                            <w:tcPr>
                              <w:tcW w:w="2500" w:type="pct"/>
                              <w:tcMar>
                                <w:top w:w="15" w:type="dxa"/>
                                <w:left w:w="15" w:type="dxa"/>
                                <w:bottom w:w="15" w:type="dxa"/>
                                <w:right w:w="15" w:type="dxa"/>
                              </w:tcMar>
                              <w:vAlign w:val="center"/>
                              <w:hideMark/>
                            </w:tcPr>
                            <w:p w14:paraId="25F09E83" w14:textId="77777777" w:rsidR="00EA66AE" w:rsidRDefault="00EA66AE">
                              <w:pPr>
                                <w:spacing w:before="150" w:after="225"/>
                                <w:rPr>
                                  <w:rFonts w:ascii="Arial" w:hAnsi="Arial" w:cs="Arial"/>
                                  <w:color w:val="FFFFFF"/>
                                  <w:sz w:val="21"/>
                                  <w:szCs w:val="21"/>
                                </w:rPr>
                              </w:pPr>
                              <w:r>
                                <w:rPr>
                                  <w:rStyle w:val="Strong"/>
                                  <w:rFonts w:ascii="Arial" w:hAnsi="Arial" w:cs="Arial"/>
                                  <w:color w:val="FFFFFF"/>
                                  <w:sz w:val="21"/>
                                  <w:szCs w:val="21"/>
                                </w:rPr>
                                <w:t>Risk Management Agency</w:t>
                              </w:r>
                            </w:p>
                            <w:p w14:paraId="1AFDBDB1" w14:textId="77777777" w:rsidR="00EA66AE" w:rsidRDefault="00EA66AE">
                              <w:pPr>
                                <w:spacing w:before="150" w:after="225"/>
                                <w:rPr>
                                  <w:rFonts w:ascii="Arial" w:hAnsi="Arial" w:cs="Arial"/>
                                  <w:color w:val="FFFFFF"/>
                                  <w:sz w:val="21"/>
                                  <w:szCs w:val="21"/>
                                </w:rPr>
                              </w:pPr>
                              <w:r>
                                <w:rPr>
                                  <w:rFonts w:ascii="Arial" w:hAnsi="Arial" w:cs="Arial"/>
                                  <w:color w:val="FFFFFF"/>
                                  <w:sz w:val="21"/>
                                  <w:szCs w:val="21"/>
                                </w:rPr>
                                <w:t>Davis, CA Office: 530-792-5870</w:t>
                              </w:r>
                            </w:p>
                          </w:tc>
                          <w:tc>
                            <w:tcPr>
                              <w:tcW w:w="2500" w:type="pct"/>
                              <w:tcMar>
                                <w:top w:w="15" w:type="dxa"/>
                                <w:left w:w="15" w:type="dxa"/>
                                <w:bottom w:w="15" w:type="dxa"/>
                                <w:right w:w="15" w:type="dxa"/>
                              </w:tcMar>
                              <w:vAlign w:val="center"/>
                              <w:hideMark/>
                            </w:tcPr>
                            <w:p w14:paraId="1362E853" w14:textId="77777777" w:rsidR="00EA66AE" w:rsidRDefault="00EA66AE">
                              <w:pPr>
                                <w:rPr>
                                  <w:rFonts w:ascii="Arial" w:eastAsia="Times New Roman" w:hAnsi="Arial" w:cs="Arial"/>
                                  <w:color w:val="FFFFFF"/>
                                  <w:sz w:val="21"/>
                                  <w:szCs w:val="21"/>
                                </w:rPr>
                              </w:pPr>
                              <w:r>
                                <w:rPr>
                                  <w:rFonts w:ascii="Arial" w:eastAsia="Times New Roman" w:hAnsi="Arial" w:cs="Arial"/>
                                  <w:color w:val="FFFFFF"/>
                                  <w:sz w:val="21"/>
                                  <w:szCs w:val="21"/>
                                </w:rPr>
                                <w:t> </w:t>
                              </w:r>
                            </w:p>
                          </w:tc>
                        </w:tr>
                        <w:tr w:rsidR="00EA66AE" w14:paraId="0C2BC579" w14:textId="77777777">
                          <w:tc>
                            <w:tcPr>
                              <w:tcW w:w="2500" w:type="pct"/>
                              <w:tcMar>
                                <w:top w:w="15" w:type="dxa"/>
                                <w:left w:w="15" w:type="dxa"/>
                                <w:bottom w:w="15" w:type="dxa"/>
                                <w:right w:w="15" w:type="dxa"/>
                              </w:tcMar>
                              <w:vAlign w:val="center"/>
                              <w:hideMark/>
                            </w:tcPr>
                            <w:p w14:paraId="05B92208" w14:textId="77777777" w:rsidR="00EA66AE" w:rsidRDefault="00EA66AE">
                              <w:pPr>
                                <w:rPr>
                                  <w:rFonts w:ascii="Arial" w:eastAsia="Times New Roman" w:hAnsi="Arial" w:cs="Arial"/>
                                  <w:color w:val="FFFFFF"/>
                                  <w:sz w:val="21"/>
                                  <w:szCs w:val="21"/>
                                </w:rPr>
                              </w:pPr>
                            </w:p>
                          </w:tc>
                          <w:tc>
                            <w:tcPr>
                              <w:tcW w:w="2500" w:type="pct"/>
                              <w:tcMar>
                                <w:top w:w="15" w:type="dxa"/>
                                <w:left w:w="15" w:type="dxa"/>
                                <w:bottom w:w="15" w:type="dxa"/>
                                <w:right w:w="15" w:type="dxa"/>
                              </w:tcMar>
                              <w:vAlign w:val="center"/>
                              <w:hideMark/>
                            </w:tcPr>
                            <w:p w14:paraId="2A5B507E" w14:textId="77777777" w:rsidR="00EA66AE" w:rsidRDefault="00EA66AE">
                              <w:pPr>
                                <w:rPr>
                                  <w:rFonts w:ascii="Times New Roman" w:eastAsia="Times New Roman" w:hAnsi="Times New Roman" w:cs="Times New Roman"/>
                                  <w:sz w:val="20"/>
                                  <w:szCs w:val="20"/>
                                </w:rPr>
                              </w:pPr>
                            </w:p>
                          </w:tc>
                        </w:tr>
                        <w:tr w:rsidR="00EA66AE" w14:paraId="6A102D0A" w14:textId="77777777">
                          <w:tc>
                            <w:tcPr>
                              <w:tcW w:w="2500" w:type="pct"/>
                              <w:tcMar>
                                <w:top w:w="15" w:type="dxa"/>
                                <w:left w:w="15" w:type="dxa"/>
                                <w:bottom w:w="15" w:type="dxa"/>
                                <w:right w:w="15" w:type="dxa"/>
                              </w:tcMar>
                              <w:vAlign w:val="center"/>
                              <w:hideMark/>
                            </w:tcPr>
                            <w:p w14:paraId="06436251" w14:textId="77777777" w:rsidR="00EA66AE" w:rsidRDefault="00EA66AE">
                              <w:pPr>
                                <w:spacing w:before="150" w:after="225"/>
                                <w:rPr>
                                  <w:rFonts w:ascii="Arial" w:hAnsi="Arial" w:cs="Arial"/>
                                  <w:color w:val="FFFFFF"/>
                                  <w:sz w:val="21"/>
                                  <w:szCs w:val="21"/>
                                </w:rPr>
                              </w:pPr>
                              <w:r>
                                <w:rPr>
                                  <w:rStyle w:val="Strong"/>
                                  <w:rFonts w:ascii="Arial" w:hAnsi="Arial" w:cs="Arial"/>
                                  <w:color w:val="FFFFFF"/>
                                  <w:sz w:val="21"/>
                                  <w:szCs w:val="21"/>
                                </w:rPr>
                                <w:t> </w:t>
                              </w:r>
                            </w:p>
                          </w:tc>
                          <w:tc>
                            <w:tcPr>
                              <w:tcW w:w="2500" w:type="pct"/>
                              <w:tcMar>
                                <w:top w:w="15" w:type="dxa"/>
                                <w:left w:w="15" w:type="dxa"/>
                                <w:bottom w:w="15" w:type="dxa"/>
                                <w:right w:w="15" w:type="dxa"/>
                              </w:tcMar>
                              <w:vAlign w:val="center"/>
                              <w:hideMark/>
                            </w:tcPr>
                            <w:p w14:paraId="621F691B" w14:textId="77777777" w:rsidR="00EA66AE" w:rsidRDefault="00EA66AE">
                              <w:pPr>
                                <w:rPr>
                                  <w:rFonts w:ascii="Arial" w:hAnsi="Arial" w:cs="Arial"/>
                                  <w:color w:val="FFFFFF"/>
                                  <w:sz w:val="21"/>
                                  <w:szCs w:val="21"/>
                                </w:rPr>
                              </w:pPr>
                            </w:p>
                          </w:tc>
                        </w:tr>
                      </w:tbl>
                      <w:p w14:paraId="099CB89F" w14:textId="77777777" w:rsidR="00EA66AE" w:rsidRDefault="00EA66AE">
                        <w:pPr>
                          <w:spacing w:before="150" w:after="225"/>
                          <w:rPr>
                            <w:rFonts w:ascii="Arial" w:hAnsi="Arial" w:cs="Arial"/>
                            <w:color w:val="FFFFFF"/>
                            <w:sz w:val="21"/>
                            <w:szCs w:val="21"/>
                          </w:rPr>
                        </w:pPr>
                        <w:r>
                          <w:rPr>
                            <w:rFonts w:ascii="Arial" w:hAnsi="Arial" w:cs="Arial"/>
                            <w:color w:val="FFFFFF"/>
                            <w:sz w:val="21"/>
                            <w:szCs w:val="21"/>
                          </w:rPr>
                          <w:t> </w:t>
                        </w:r>
                      </w:p>
                    </w:tc>
                  </w:tr>
                </w:tbl>
                <w:p w14:paraId="6974EDE9" w14:textId="77777777" w:rsidR="00EA66AE" w:rsidRDefault="00EA66AE">
                  <w:pPr>
                    <w:jc w:val="center"/>
                    <w:rPr>
                      <w:rFonts w:ascii="Times New Roman" w:eastAsia="Times New Roman" w:hAnsi="Times New Roman" w:cs="Times New Roman"/>
                      <w:sz w:val="20"/>
                      <w:szCs w:val="20"/>
                    </w:rPr>
                  </w:pPr>
                </w:p>
              </w:tc>
            </w:tr>
          </w:tbl>
          <w:p w14:paraId="0835AEBF" w14:textId="77777777" w:rsidR="00EA66AE" w:rsidRDefault="00EA66AE">
            <w:pPr>
              <w:jc w:val="center"/>
              <w:rPr>
                <w:rFonts w:ascii="Times New Roman" w:eastAsia="Times New Roman" w:hAnsi="Times New Roman" w:cs="Times New Roman"/>
                <w:sz w:val="20"/>
                <w:szCs w:val="20"/>
              </w:rPr>
            </w:pPr>
          </w:p>
        </w:tc>
      </w:tr>
    </w:tbl>
    <w:p w14:paraId="59A9E467" w14:textId="77777777" w:rsidR="00D32D6B" w:rsidRDefault="00D32D6B"/>
    <w:sectPr w:rsidR="00D32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1D0"/>
    <w:multiLevelType w:val="multilevel"/>
    <w:tmpl w:val="002CD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B1A9D"/>
    <w:multiLevelType w:val="multilevel"/>
    <w:tmpl w:val="60E6E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36CD8"/>
    <w:multiLevelType w:val="multilevel"/>
    <w:tmpl w:val="CB0E6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BB172B"/>
    <w:multiLevelType w:val="multilevel"/>
    <w:tmpl w:val="12104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700BF"/>
    <w:multiLevelType w:val="multilevel"/>
    <w:tmpl w:val="95685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677CFF"/>
    <w:multiLevelType w:val="multilevel"/>
    <w:tmpl w:val="2B9C6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AE"/>
    <w:rsid w:val="006B7FD0"/>
    <w:rsid w:val="00D32D6B"/>
    <w:rsid w:val="00EA66AE"/>
    <w:rsid w:val="00F4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2C16"/>
  <w15:chartTrackingRefBased/>
  <w15:docId w15:val="{1D83202A-D012-4779-9466-0B9A2908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6AE"/>
    <w:pPr>
      <w:spacing w:after="0" w:line="240" w:lineRule="auto"/>
    </w:pPr>
    <w:rPr>
      <w:rFonts w:ascii="Calibri" w:hAnsi="Calibri" w:cs="Calibri"/>
    </w:rPr>
  </w:style>
  <w:style w:type="paragraph" w:styleId="Heading1">
    <w:name w:val="heading 1"/>
    <w:basedOn w:val="Normal"/>
    <w:link w:val="Heading1Char"/>
    <w:uiPriority w:val="9"/>
    <w:qFormat/>
    <w:rsid w:val="00EA66AE"/>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EA66A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6AE"/>
    <w:rPr>
      <w:rFonts w:ascii="Calibri" w:hAnsi="Calibri" w:cs="Calibri"/>
      <w:b/>
      <w:bCs/>
      <w:kern w:val="36"/>
      <w:sz w:val="48"/>
      <w:szCs w:val="48"/>
    </w:rPr>
  </w:style>
  <w:style w:type="character" w:customStyle="1" w:styleId="Heading3Char">
    <w:name w:val="Heading 3 Char"/>
    <w:basedOn w:val="DefaultParagraphFont"/>
    <w:link w:val="Heading3"/>
    <w:uiPriority w:val="9"/>
    <w:semiHidden/>
    <w:rsid w:val="00EA66AE"/>
    <w:rPr>
      <w:rFonts w:ascii="Calibri" w:hAnsi="Calibri" w:cs="Calibri"/>
      <w:b/>
      <w:bCs/>
      <w:sz w:val="27"/>
      <w:szCs w:val="27"/>
    </w:rPr>
  </w:style>
  <w:style w:type="character" w:styleId="Hyperlink">
    <w:name w:val="Hyperlink"/>
    <w:basedOn w:val="DefaultParagraphFont"/>
    <w:uiPriority w:val="99"/>
    <w:semiHidden/>
    <w:unhideWhenUsed/>
    <w:rsid w:val="00EA66AE"/>
    <w:rPr>
      <w:color w:val="0000FF"/>
      <w:u w:val="single"/>
    </w:rPr>
  </w:style>
  <w:style w:type="character" w:styleId="Strong">
    <w:name w:val="Strong"/>
    <w:basedOn w:val="DefaultParagraphFont"/>
    <w:uiPriority w:val="22"/>
    <w:qFormat/>
    <w:rsid w:val="00EA66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018029">
      <w:bodyDiv w:val="1"/>
      <w:marLeft w:val="0"/>
      <w:marRight w:val="0"/>
      <w:marTop w:val="0"/>
      <w:marBottom w:val="0"/>
      <w:divBdr>
        <w:top w:val="none" w:sz="0" w:space="0" w:color="auto"/>
        <w:left w:val="none" w:sz="0" w:space="0" w:color="auto"/>
        <w:bottom w:val="none" w:sz="0" w:space="0" w:color="auto"/>
        <w:right w:val="none" w:sz="0" w:space="0" w:color="auto"/>
      </w:divBdr>
      <w:divsChild>
        <w:div w:id="1664972902">
          <w:marLeft w:val="0"/>
          <w:marRight w:val="0"/>
          <w:marTop w:val="300"/>
          <w:marBottom w:val="300"/>
          <w:divBdr>
            <w:top w:val="none" w:sz="0" w:space="0" w:color="auto"/>
            <w:left w:val="none" w:sz="0" w:space="0" w:color="auto"/>
            <w:bottom w:val="none" w:sz="0" w:space="0" w:color="auto"/>
            <w:right w:val="none" w:sz="0" w:space="0" w:color="auto"/>
          </w:divBdr>
        </w:div>
        <w:div w:id="2106804996">
          <w:marLeft w:val="0"/>
          <w:marRight w:val="0"/>
          <w:marTop w:val="300"/>
          <w:marBottom w:val="300"/>
          <w:divBdr>
            <w:top w:val="none" w:sz="0" w:space="0" w:color="auto"/>
            <w:left w:val="none" w:sz="0" w:space="0" w:color="auto"/>
            <w:bottom w:val="none" w:sz="0" w:space="0" w:color="auto"/>
            <w:right w:val="none" w:sz="0" w:space="0" w:color="auto"/>
          </w:divBdr>
        </w:div>
        <w:div w:id="2117407971">
          <w:marLeft w:val="0"/>
          <w:marRight w:val="0"/>
          <w:marTop w:val="300"/>
          <w:marBottom w:val="300"/>
          <w:divBdr>
            <w:top w:val="none" w:sz="0" w:space="0" w:color="auto"/>
            <w:left w:val="none" w:sz="0" w:space="0" w:color="auto"/>
            <w:bottom w:val="none" w:sz="0" w:space="0" w:color="auto"/>
            <w:right w:val="none" w:sz="0" w:space="0" w:color="auto"/>
          </w:divBdr>
        </w:div>
        <w:div w:id="1598829820">
          <w:marLeft w:val="0"/>
          <w:marRight w:val="0"/>
          <w:marTop w:val="300"/>
          <w:marBottom w:val="300"/>
          <w:divBdr>
            <w:top w:val="none" w:sz="0" w:space="0" w:color="auto"/>
            <w:left w:val="none" w:sz="0" w:space="0" w:color="auto"/>
            <w:bottom w:val="none" w:sz="0" w:space="0" w:color="auto"/>
            <w:right w:val="none" w:sz="0" w:space="0" w:color="auto"/>
          </w:divBdr>
        </w:div>
        <w:div w:id="50155509">
          <w:marLeft w:val="0"/>
          <w:marRight w:val="0"/>
          <w:marTop w:val="300"/>
          <w:marBottom w:val="300"/>
          <w:divBdr>
            <w:top w:val="none" w:sz="0" w:space="0" w:color="auto"/>
            <w:left w:val="none" w:sz="0" w:space="0" w:color="auto"/>
            <w:bottom w:val="none" w:sz="0" w:space="0" w:color="auto"/>
            <w:right w:val="none" w:sz="0" w:space="0" w:color="auto"/>
          </w:divBdr>
        </w:div>
        <w:div w:id="561982276">
          <w:marLeft w:val="0"/>
          <w:marRight w:val="0"/>
          <w:marTop w:val="300"/>
          <w:marBottom w:val="300"/>
          <w:divBdr>
            <w:top w:val="none" w:sz="0" w:space="0" w:color="auto"/>
            <w:left w:val="none" w:sz="0" w:space="0" w:color="auto"/>
            <w:bottom w:val="none" w:sz="0" w:space="0" w:color="auto"/>
            <w:right w:val="none" w:sz="0" w:space="0" w:color="auto"/>
          </w:divBdr>
        </w:div>
        <w:div w:id="95289942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nks.gd/l/eyJhbGciOiJIUzI1NiJ9.eyJidWxsZXRpbl9saW5rX2lkIjoxMDgsInVyaSI6ImJwMjpjbGljayIsImJ1bGxldGluX2lkIjoiMjAyMjA0MTMuNTYzOTAwNjEiLCJ1cmwiOiJodHRwczovL2xua3MuZ2QvbC9leUpoYkdjaU9pSklVekkxTmlKOS5leUppZFd4c1pYUnBibDlzYVc1clgybGtJam94TVRJc0luVnlhU0k2SW1Kd01qcGpiR2xqYXlJc0ltSjFiR3hsZEdsdVgybGtJam9pTWpBeU1URXlNRGd1TkRrNU9ETTFOekVpTENKMWNtd2lPaUpvZEhSd2N6b3ZMM2QzZHk1bVlYSnRaWEp6TG1kdmRpOXpaWEoyYVdObExXTmxiblJsY2kxc2IyTmhkRzl5UDNWMGJWOXRaV1JwZFcwOVpXMWhhV3dtZFhSdFgzTnZkWEpqWlQxbmIzWmtaV3hwZG1WeWVTSjkuMGF5Z3FPQlQ0VkNtUUlBdDU2Q1RGREV4OFhiQVdQcWJlenYxLTZiVmpKVS9zLzEwMzkwMDI0MDAvYnIvMTIyNTkxMzc2MzY4LWw_dXRtX21lZGl1bT1lbWFpbCZ1dG1fc291cmNlPWdvdmRlbGl2ZXJ5In0.-aqO8WRpdft6yCAUSuO7ol7MVrn6ubhRXbdcuLPxZaM/s/1039002400/br/129782093744-l" TargetMode="External"/><Relationship Id="rId18" Type="http://schemas.openxmlformats.org/officeDocument/2006/relationships/hyperlink" Target="https://lnks.gd/l/eyJhbGciOiJIUzI1NiJ9.eyJidWxsZXRpbl9saW5rX2lkIjoxMTMsInVyaSI6ImJwMjpjbGljayIsImJ1bGxldGluX2lkIjoiMjAyMjA0MTMuNTYzOTAwNjEiLCJ1cmwiOiJodHRwczovL3d3dy5mc2EudXNkYS5nb3YvcHJvZ3JhbXMtYW5kLXNlcnZpY2VzL2NvbnNlcnZhdGlvbi1wcm9ncmFtcy9jcnAtZ3Jhc3NsYW5kcy9pbmRleD91dG1fbWVkaXVtPWVtYWlsJnV0bV9zb3VyY2U9Z292ZGVsaXZlcnkifQ.pWh-1zXgS69YKjfKPDurpuMrqTa-x5fti6nBEkJX9oM/s/1039002400/br/129782093744-l" TargetMode="External"/><Relationship Id="rId26" Type="http://schemas.openxmlformats.org/officeDocument/2006/relationships/hyperlink" Target="https://lnks.gd/l/eyJhbGciOiJIUzI1NiJ9.eyJidWxsZXRpbl9saW5rX2lkIjoxMjEsInVyaSI6ImJwMjpjbGljayIsImJ1bGxldGluX2lkIjoiMjAyMjA0MTMuNTYzOTAwNjEiLCJ1cmwiOiJodHRwczovL2xua3MuZ2QvbC9leUpoYkdjaU9pSklVekkxTmlKOS5leUppZFd4c1pYUnBibDlzYVc1clgybGtJam94TURRc0luVnlhU0k2SW1Kd01qcGpiR2xqYXlJc0ltSjFiR3hsZEdsdVgybGtJam9pTWpBeU1qQXpNREl1TlRReU56azNPVEVpTENKMWNtd2lPaUpvZEhSd2N6b3ZMM2QzZHk1dWNtTnpMblZ6WkdFdVoyOTJMM2R3Y3k5d2IzSjBZV3d2Ym5KamN5OWtaWFJoYVd3dmJtRjBhVzl1WVd3dmNISnZaM0poYlhNdmFXNXBkR2xoZEdsMlpYTXZQMk5wWkQxemRHVnNjSEprWWpFeU5EUXpPVFFpZlEuMGdYaVViblhtelFNQWlfVkx1Nzdjd2dzTjR5S0N1dVVSYzlrNThUNFFrWS9zLzE1NTYxNDM4ODgvYnIvMTI3NDE5MzMyNTg4LWw_dXRtX21lZGl1bT1lbWFpbCZ1dG1fc291cmNlPWdvdmRlbGl2ZXJ5In0.sjJ4qV_1wZh4uvX2lAozR4O-sbGHh7Br-al6SdMC8iQ/s/1039002400/br/129782093744-l" TargetMode="External"/><Relationship Id="rId3" Type="http://schemas.openxmlformats.org/officeDocument/2006/relationships/settings" Target="settings.xml"/><Relationship Id="rId21" Type="http://schemas.openxmlformats.org/officeDocument/2006/relationships/hyperlink" Target="https://lnks.gd/l/eyJhbGciOiJIUzI1NiJ9.eyJidWxsZXRpbl9saW5rX2lkIjoxMTYsInVyaSI6ImJwMjpjbGljayIsImJ1bGxldGluX2lkIjoiMjAyMjA0MTMuNTYzOTAwNjEiLCJ1cmwiOiJodHRwOi8vd3d3LmZhcm1lcnMuZ292L3NlcnZpY2UtbG9jYXRvcj91dG1fbWVkaXVtPWVtYWlsJnV0bV9zb3VyY2U9Z292ZGVsaXZlcnkifQ.BERxbudTRZ3r0u2keQe2Otg4LZoSuX8IyX9aZW-HAHE/s/1039002400/br/129782093744-l" TargetMode="External"/><Relationship Id="rId34" Type="http://schemas.openxmlformats.org/officeDocument/2006/relationships/fontTable" Target="fontTable.xml"/><Relationship Id="rId7" Type="http://schemas.openxmlformats.org/officeDocument/2006/relationships/hyperlink" Target="https://lnks.gd/l/eyJhbGciOiJIUzI1NiJ9.eyJidWxsZXRpbl9saW5rX2lkIjoxMDIsInVyaSI6ImJwMjpjbGljayIsImJ1bGxldGluX2lkIjoiMjAyMjA0MTMuNTYzOTAwNjEiLCJ1cmwiOiJodHRwczovL3d3dy5ucmNzLnVzZGEuZ292L3dwcy9wb3J0YWwvbnJjcy9zaXRlL25hdGlvbmFsL2hvbWUvP3V0bV9tZWRpdW09ZW1haWwmdXRtX3NvdXJjZT1nb3ZkZWxpdmVyeSJ9.oAnDvnpn62gtaMW-ZagiWWODqN4dQsH0LxmucbXZ3WQ/s/1039002400/br/129782093744-l" TargetMode="External"/><Relationship Id="rId12" Type="http://schemas.openxmlformats.org/officeDocument/2006/relationships/hyperlink" Target="https://lnks.gd/l/eyJhbGciOiJIUzI1NiJ9.eyJidWxsZXRpbl9saW5rX2lkIjoxMDcsInVyaSI6ImJwMjpjbGljayIsImJ1bGxldGluX2lkIjoiMjAyMjA0MTMuNTYzOTAwNjEiLCJ1cmwiOiJodHRwczovL2xua3MuZ2QvbC9leUpoYkdjaU9pSklVekkxTmlKOS5leUppZFd4c1pYUnBibDlzYVc1clgybGtJam94TVRFc0luVnlhU0k2SW1Kd01qcGpiR2xqYXlJc0ltSjFiR3hsZEdsdVgybGtJam9pTWpBeU1URXlNRGd1TkRrNU9ETTFOekVpTENKMWNtd2lPaUpvZEhSd2N6b3ZMM2QzZHk1bVlYSnRaWEp6TG1kdmRpOW1kVzVrTDJaaGNtMHRiRzloYmkxa2FYTmpiM1psY25rdGRHOXZiRDkxZEcxZmJXVmthWFZ0UFdWdFlXbHNKblYwYlY5emIzVnlZMlU5WjI5MlpHVnNhWFpsY25raWZRLkdpZ0VtYjgtOEhDYW81V24yQlF2cGU5Zkd1bWxqN283dEFJMnpTejNTUW8vcy8xMDM5MDAyNDAwL2JyLzEyMjU5MTM3NjM2OC1sP3V0bV9tZWRpdW09ZW1haWwmdXRtX3NvdXJjZT1nb3ZkZWxpdmVyeSJ9.NB5JvxayRrotd8_bfJU4ycRjXud3qtpBO3_pYINcJzs/s/1039002400/br/129782093744-l" TargetMode="External"/><Relationship Id="rId17" Type="http://schemas.openxmlformats.org/officeDocument/2006/relationships/hyperlink" Target="https://lnks.gd/l/eyJhbGciOiJIUzI1NiJ9.eyJidWxsZXRpbl9saW5rX2lkIjoxMTIsInVyaSI6ImJwMjpjbGljayIsImJ1bGxldGluX2lkIjoiMjAyMjA0MTMuNTYzOTAwNjEiLCJ1cmwiOiJodHRwOi8vd3d3LmZhcm1lcnMuZ292L3NlcnZpY2UtbG9jYXRvcj91dG1fbWVkaXVtPWVtYWlsJnV0bV9zb3VyY2U9Z292ZGVsaXZlcnkifQ.83f80aBdmg9eEKiHgRtwf5RhDNSqG1oE7E06zOfZFCY/s/1039002400/br/129782093744-l" TargetMode="External"/><Relationship Id="rId25" Type="http://schemas.openxmlformats.org/officeDocument/2006/relationships/hyperlink" Target="https://lnks.gd/l/eyJhbGciOiJIUzI1NiJ9.eyJidWxsZXRpbl9saW5rX2lkIjoxMjAsInVyaSI6ImJwMjpjbGljayIsImJ1bGxldGluX2lkIjoiMjAyMjA0MTMuNTYzOTAwNjEiLCJ1cmwiOiJodHRwczovL2xua3MuZ2QvbC9leUpoYkdjaU9pSklVekkxTmlKOS5leUppZFd4c1pYUnBibDlzYVc1clgybGtJam94TURNc0luVnlhU0k2SW1Kd01qcGpiR2xqYXlJc0ltSjFiR3hsZEdsdVgybGtJam9pTWpBeU1qQXpNREl1TlRReU56azNPVEVpTENKMWNtd2lPaUpvZEhSd2N6b3ZMMk52Ym5SbGJuUXVaMjkyWkdWc2FYWmxjbmt1WTI5dEwyRjBkR0ZqYUcxbGJuUnpMMVZUUkVGR1FWSk5SVkpUTHpJd01qSXZNRE12TURJdlptbHNaVjloZEhSaFkyaHRaVzUwY3k4eU1Ea3lNRFV5TDBwRFRGSlFYMDV2Y25Sb1pYSnVRVnBJWVdKcGRHRjBWMmxzWkdacGNtVmZVSEpwYjNKcGRIbGZRWEpsWVY5TllYQXVjR1JtSW4wLlBjOFk4THZPNXRXMTRwdnp3Q3dCbzQ4d1NEZkk1ZzBicU5qMk1lOU1CbEkvcy8xNTU2MTQzODg4L2JyLzEyNzQxOTMzMjU4OC1sP3V0bV9tZWRpdW09ZW1haWwmdXRtX3NvdXJjZT1nb3ZkZWxpdmVyeSJ9.KiN3cOzimCexl6Uf0xynvwLYDoU0UKoX0qlCnJjr0kI/s/1039002400/br/129782093744-l" TargetMode="Externa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lnks.gd/l/eyJhbGciOiJIUzI1NiJ9.eyJidWxsZXRpbl9saW5rX2lkIjoxMTEsInVyaSI6ImJwMjpjbGljayIsImJ1bGxldGluX2lkIjoiMjAyMjA0MTMuNTYzOTAwNjEiLCJ1cmwiOiJodHRwOi8vd3d3LmZhcm1lcnMuZ292L3NtaHBwP3V0bV9tZWRpdW09ZW1haWwmdXRtX3NvdXJjZT1nb3ZkZWxpdmVyeSJ9.sNVBg6IGCsk6Xa8_Xo6CwcPTRTWFnEjDCizoRqzFcgc/s/1039002400/br/129782093744-l" TargetMode="External"/><Relationship Id="rId20" Type="http://schemas.openxmlformats.org/officeDocument/2006/relationships/hyperlink" Target="https://lnks.gd/l/eyJhbGciOiJIUzI1NiJ9.eyJidWxsZXRpbl9saW5rX2lkIjoxMTUsInVyaSI6ImJwMjpjbGljayIsImJ1bGxldGluX2lkIjoiMjAyMjA0MTMuNTYzOTAwNjEiLCJ1cmwiOiJodHRwczovL3d3dy5mc2EudXNkYS5nb3YvcHJvZ3JhbXMtYW5kLXNlcnZpY2VzL2NvbnNlcnZhdGlvbi1wcm9ncmFtcy9jb25zZXJ2YXRpb24tcmVzZXJ2ZS1lbmhhbmNlbWVudC9pbmRleD91dG1fbWVkaXVtPWVtYWlsJnV0bV9zb3VyY2U9Z292ZGVsaXZlcnkifQ.kOumoqUnUn83erf_yKfChIGECvp35gCff8jKZqSVuiE/s/1039002400/br/129782093744-l" TargetMode="External"/><Relationship Id="rId29" Type="http://schemas.openxmlformats.org/officeDocument/2006/relationships/hyperlink" Target="https://lnks.gd/l/eyJhbGciOiJIUzI1NiJ9.eyJidWxsZXRpbl9saW5rX2lkIjoxMjQsInVyaSI6ImJwMjpjbGljayIsImJ1bGxldGluX2lkIjoiMjAyMjA0MTMuNTYzOTAwNjEiLCJ1cmwiOiJodHRwczovL2xua3MuZ2QvbC9leUpoYkdjaU9pSklVekkxTmlKOS5leUppZFd4c1pYUnBibDlzYVc1clgybGtJam94TURjc0luVnlhU0k2SW1Kd01qcGpiR2xqYXlJc0ltSjFiR3hsZEdsdVgybGtJam9pTWpBeU1qQXpNREl1TlRReU56azNPVEVpTENKMWNtd2lPaUpvZEhSd2N6b3ZMMk52Ym5SbGJuUXVaMjkyWkdWc2FYWmxjbmt1WTI5dEwyRjBkR0ZqYUcxbGJuUnpMMVZUUkVGR1FWSk5SVkpUTHpJd01qSXZNRE12TURJdlptbHNaVjloZEhSaFkyaHRaVzUwY3k4eU1Ea3lNRFV5TDBwRFRGSlFYMDV2Y25Sb1pYSnVRVnBJWVdKcGRHRjBWMmxzWkdacGNtVmZVSEpwYjNKcGRIbGZRWEpsWVY5TllYQXVjR1JtSW4wLm9uZVpmbVBfRloycC1tZExUdmJIdXE1dEJ3cHNFeTB6c2M4bkpEVE05S00vcy8xNTU2MTQzODg4L2JyLzEyNzQxOTMzMjU4OC1sP3V0bV9tZWRpdW09ZW1haWwmdXRtX3NvdXJjZT1nb3ZkZWxpdmVyeSJ9.9OoAaXe_CM4OLgjhg3ygp2WsFG9dO1fkZIfcrel2DGY/s/1039002400/br/129782093744-l" TargetMode="External"/><Relationship Id="rId1" Type="http://schemas.openxmlformats.org/officeDocument/2006/relationships/numbering" Target="numbering.xml"/><Relationship Id="rId6" Type="http://schemas.openxmlformats.org/officeDocument/2006/relationships/hyperlink" Target="https://lnks.gd/l/eyJhbGciOiJIUzI1NiJ9.eyJidWxsZXRpbl9saW5rX2lkIjoxMDEsInVyaSI6ImJwMjpjbGljayIsImJ1bGxldGluX2lkIjoiMjAyMjA0MTMuNTYzOTAwNjEiLCJ1cmwiOiJodHRwczovL2ZzYS51c2RhLmdvdi8_dXRtX21lZGl1bT1lbWFpbCZ1dG1fc291cmNlPWdvdmRlbGl2ZXJ5In0.x92xMpgRF9eU6q4UbZPaDVeTW4z1y_mMFnpujjZQByI/s/1039002400/br/129782093744-l" TargetMode="External"/><Relationship Id="rId11" Type="http://schemas.openxmlformats.org/officeDocument/2006/relationships/hyperlink" Target="https://lnks.gd/l/eyJhbGciOiJIUzI1NiJ9.eyJidWxsZXRpbl9saW5rX2lkIjoxMDYsInVyaSI6ImJwMjpjbGljayIsImJ1bGxldGluX2lkIjoiMjAyMjA0MTMuNTYzOTAwNjEiLCJ1cmwiOiJodHRwczovL2xua3MuZ2QvbC9leUpoYkdjaU9pSklVekkxTmlKOS5leUppZFd4c1pYUnBibDlzYVc1clgybGtJam94TVRBc0luVnlhU0k2SW1Kd01qcGpiR2xqYXlJc0ltSjFiR3hsZEdsdVgybGtJam9pTWpBeU1URXlNRGd1TkRrNU9ETTFOekVpTENKMWNtd2lPaUpvZEhSd2N6b3ZMM2QzZHk1bVlYSnRaWEp6TG1kdmRpOXphWFJsY3k5a1pXWmhkV3gwTDJacGJHVnpMekl3TWpBdE1EUXZSbE5CWDBScGMyRnpkR1Z5UVhOemFYTjBZVzVqWlY5aGRGOWhYMmRzWVc1alpWOWljbTlqYUhWeVpWOHVjR1JtUDNWMGJWOXRaV1JwZFcwOVpXMWhhV3dtZFhSdFgzTnZkWEpqWlQxbmIzWmtaV3hwZG1WeWVTSjkuX2VESkxTMWl6T1RMWXAzWW5BTkpjYmFJSXNFbEtMaTNkMEpYcTVLZXRIay9zLzEwMzkwMDI0MDAvYnIvMTIyNTkxMzc2MzY4LWw_dXRtX21lZGl1bT1lbWFpbCZ1dG1fc291cmNlPWdvdmRlbGl2ZXJ5In0.erAVoGvaO7aEQqL18SasWBn1yzctnjYCmm5OlHhsvtI/s/1039002400/br/129782093744-l" TargetMode="External"/><Relationship Id="rId24" Type="http://schemas.openxmlformats.org/officeDocument/2006/relationships/hyperlink" Target="https://lnks.gd/l/eyJhbGciOiJIUzI1NiJ9.eyJidWxsZXRpbl9saW5rX2lkIjoxMTksInVyaSI6ImJwMjpjbGljayIsImJ1bGxldGluX2lkIjoiMjAyMjA0MTMuNTYzOTAwNjEiLCJ1cmwiOiJodHRwczovL2xua3MuZ2QvbC9leUpoYkdjaU9pSklVekkxTmlKOS5leUppZFd4c1pYUnBibDlzYVc1clgybGtJam94TURJc0luVnlhU0k2SW1Kd01qcGpiR2xqYXlJc0ltSjFiR3hsZEdsdVgybGtJam9pTWpBeU1qQXpNREl1TlRReU56azNPVEVpTENKMWNtd2lPaUpvZEhSd2N6b3ZMMk52Ym5SbGJuUXVaMjkyWkdWc2FYWmxjbmt1WTI5dEwyRjBkR0ZqYUcxbGJuUnpMMVZUUkVGR1FWSk5SVkpUTHpJd01qSXZNRE12TURJdlptbHNaVjloZEhSaFkyaHRaVzUwY3k4eU1Ea3lNRFV4TDBwRFRGSlFYME5oZEdGc2FXNWhYMUpwYm1OdmJsOVFjbWx2Y21sMGVWOUJjbVZoWDAxaGNDNXdaR1lpZlEuQVU5TTJMZ0dSYzZnRkJjU29qekkwVEJ1S3VydF9PNFc1XzdJZUpmejJTNC9zLzE1NTYxNDM4ODgvYnIvMTI3NDE5MzMyNTg4LWw_dXRtX21lZGl1bT1lbWFpbCZ1dG1fc291cmNlPWdvdmRlbGl2ZXJ5In0.Vu3e3RTpyjlkALlRIflJTTce4oewF3_4CH5RBj0hcx0/s/1039002400/br/129782093744-l" TargetMode="External"/><Relationship Id="rId32" Type="http://schemas.openxmlformats.org/officeDocument/2006/relationships/hyperlink" Target="https://lnks.gd/l/eyJhbGciOiJIUzI1NiJ9.eyJidWxsZXRpbl9saW5rX2lkIjoxMjcsInVyaSI6ImJwMjpjbGljayIsImJ1bGxldGluX2lkIjoiMjAyMjA0MTMuNTYzOTAwNjEiLCJ1cmwiOiJodHRwOi8vd3d3LmZhcm1lcnMuZ292Lz91dG1fbWVkaXVtPWVtYWlsJnV0bV9zb3VyY2U9Z292ZGVsaXZlcnkifQ.8PDiz2FO2Hhq2xhnwaUz7J-L3g65-tAV9HhJW1mmzPg/s/1039002400/br/129782093744-l" TargetMode="External"/><Relationship Id="rId5" Type="http://schemas.openxmlformats.org/officeDocument/2006/relationships/image" Target="media/image1.png"/><Relationship Id="rId15" Type="http://schemas.openxmlformats.org/officeDocument/2006/relationships/hyperlink" Target="https://lnks.gd/l/eyJhbGciOiJIUzI1NiJ9.eyJidWxsZXRpbl9saW5rX2lkIjoxMTAsInVyaSI6ImJwMjpjbGljayIsImJ1bGxldGluX2lkIjoiMjAyMjA0MTMuNTYzOTAwNjEiLCJ1cmwiOiJodHRwOi8vd3d3LmZhcm1lcnMuZ292L3BhbmRlbWljLWFzc2lzdGFuY2U_dXRtX21lZGl1bT1lbWFpbCZ1dG1fc291cmNlPWdvdmRlbGl2ZXJ5In0.KCBLpmq4iGCiD1IjJpfgJOkyt1OY9Fx_cpzzEw1gx2o/s/1039002400/br/129782093744-l" TargetMode="External"/><Relationship Id="rId23" Type="http://schemas.openxmlformats.org/officeDocument/2006/relationships/hyperlink" Target="https://lnks.gd/l/eyJhbGciOiJIUzI1NiJ9.eyJidWxsZXRpbl9saW5rX2lkIjoxMTgsInVyaSI6ImJwMjpjbGljayIsImJ1bGxldGluX2lkIjoiMjAyMjA0MTMuNTYzOTAwNjEiLCJ1cmwiOiJodHRwczovL2xua3MuZ2QvbC9leUpoYkdjaU9pSklVekkxTmlKOS5leUppZFd4c1pYUnBibDlzYVc1clgybGtJam94TURFc0luVnlhU0k2SW1Kd01qcGpiR2xqYXlJc0ltSjFiR3hsZEdsdVgybGtJam9pTWpBeU1qQXpNREl1TlRReU56azNPVEVpTENKMWNtd2lPaUpvZEhSd2N6b3ZMM2QzZHk1dWNtTnpMblZ6WkdFdVoyOTJMM2R3Y3k5d2IzSjBZV3d2Ym5KamN5OWtaWFJoYVd3dmJtRjBhVzl1WVd3dmJtVjNjM0p2YjIwdmNtVnNaV0Z6WlhNdlAyTnBaRDF1Y21OelpYQnlaREU0TnpRNE9Ua2lmUS5nbW1fc3N2VmVlNmFBc0RlV2lKcW1RS0tZREQ1ZUtyT0cxTWlYTTBRaWdjL3MvMTU1NjE0Mzg4OC9ici8xMjc0MTkzMzI1ODgtbD91dG1fbWVkaXVtPWVtYWlsJnV0bV9zb3VyY2U9Z292ZGVsaXZlcnkifQ.qoklworgmK-UznxGflMnUe4ECIHvPzsdgKtU9YDsi6o/s/1039002400/br/129782093744-l" TargetMode="External"/><Relationship Id="rId28" Type="http://schemas.openxmlformats.org/officeDocument/2006/relationships/hyperlink" Target="https://lnks.gd/l/eyJhbGciOiJIUzI1NiJ9.eyJidWxsZXRpbl9saW5rX2lkIjoxMjMsInVyaSI6ImJwMjpjbGljayIsImJ1bGxldGluX2lkIjoiMjAyMjA0MTMuNTYzOTAwNjEiLCJ1cmwiOiJodHRwczovL2xua3MuZ2QvbC9leUpoYkdjaU9pSklVekkxTmlKOS5leUppZFd4c1pYUnBibDlzYVc1clgybGtJam94TURZc0luVnlhU0k2SW1Kd01qcGpiR2xqYXlJc0ltSjFiR3hsZEdsdVgybGtJam9pTWpBeU1qQXpNREl1TlRReU56azNPVEVpTENKMWNtd2lPaUpvZEhSd2N6b3ZMMk52Ym5SbGJuUXVaMjkyWkdWc2FYWmxjbmt1WTI5dEwyRjBkR0ZqYUcxbGJuUnpMMVZUUkVGR1FWSk5SVkpUTHpJd01qSXZNRE12TURJdlptbHNaVjloZEhSaFkyaHRaVzUwY3k4eU1Ea3lNRFV4TDBwRFRGSlFYME5oZEdGc2FXNWhYMUpwYm1OdmJsOVFjbWx2Y21sMGVWOUJjbVZoWDAxaGNDNXdaR1lpZlEubjhzNXZmTUlGWHVEMWJrWkE1Tkt6ek1JRjVDaUtUUUhvZEM2djFrRTVnTS9zLzE1NTYxNDM4ODgvYnIvMTI3NDE5MzMyNTg4LWw_dXRtX21lZGl1bT1lbWFpbCZ1dG1fc291cmNlPWdvdmRlbGl2ZXJ5In0.fM7RQi4W3xUEbhc9GB03-SQHmqYy7PyxS6cp-sGOR1E/s/1039002400/br/129782093744-l" TargetMode="External"/><Relationship Id="rId10" Type="http://schemas.openxmlformats.org/officeDocument/2006/relationships/hyperlink" Target="https://lnks.gd/l/eyJhbGciOiJIUzI1NiJ9.eyJidWxsZXRpbl9saW5rX2lkIjoxMDUsInVyaSI6ImJwMjpjbGljayIsImJ1bGxldGluX2lkIjoiMjAyMjA0MTMuNTYzOTAwNjEiLCJ1cmwiOiJodHRwczovL2xua3MuZ2QvbC9leUpoYkdjaU9pSklVekkxTmlKOS5leUppZFd4c1pYUnBibDlzYVc1clgybGtJam94TURrc0luVnlhU0k2SW1Kd01qcGpiR2xqYXlJc0ltSjFiR3hsZEdsdVgybGtJam9pTWpBeU1URXlNRGd1TkRrNU9ETTFOekVpTENKMWNtd2lPaUpvZEhSd2N6b3ZMM2QzZHk1bVlYSnRaWEp6TG1kdmRpOXViMlJsTHpJNE9UZzVQM1YwYlY5dFpXUnBkVzA5WlcxaGFXd21kWFJ0WDNOdmRYSmpaVDFuYjNaa1pXeHBkbVZ5ZVNKOS5XTHAxYWd3NnBjdWpqWkdJVlhMZEo5UUZkc3BvdWc2c0M1eDFHcWJYanNrL3MvMTAzOTAwMjQwMC9ici8xMjI1OTEzNzYzNjgtbD91dG1fbWVkaXVtPWVtYWlsJnV0bV9zb3VyY2U9Z292ZGVsaXZlcnkifQ.hCeW0XJwjKYHwc-fCF7tI-LLTc0pN1eFyF3u07a4saw/s/1039002400/br/129782093744-l" TargetMode="External"/><Relationship Id="rId19" Type="http://schemas.openxmlformats.org/officeDocument/2006/relationships/hyperlink" Target="https://lnks.gd/l/eyJhbGciOiJIUzI1NiJ9.eyJidWxsZXRpbl9saW5rX2lkIjoxMTQsInVyaSI6ImJwMjpjbGljayIsImJ1bGxldGluX2lkIjoiMjAyMjA0MTMuNTYzOTAwNjEiLCJ1cmwiOiJodHRwczovL3d3dy5mc2EudXNkYS5nb3YvQXNzZXRzL1VTREEtRlNBLVB1YmxpYy91c2RhZmlsZXMvQ29uc2VydmF0aW9uL1BERi9uYXRpb25hbF9ncmFzc2xhbmRfY3JwX3ByaW9yaXR5X3pvbmVzX3N1MjAzLnBkZj91dG1fbWVkaXVtPWVtYWlsJnV0bV9zb3VyY2U9Z292ZGVsaXZlcnkifQ.2lUiKxtHnbaBDXtQXTlpUno10lHWZhREnJgFbUqvxDU/s/1039002400/br/129782093744-l" TargetMode="External"/><Relationship Id="rId31" Type="http://schemas.openxmlformats.org/officeDocument/2006/relationships/hyperlink" Target="https://lnks.gd/l/eyJhbGciOiJIUzI1NiJ9.eyJidWxsZXRpbl9saW5rX2lkIjoxMjYsInVyaSI6ImJwMjpjbGljayIsImJ1bGxldGluX2lkIjoiMjAyMjA0MTMuNTYzOTAwNjEiLCJ1cmwiOiJodHRwOi8vd3d3LmZhcm1lcnMuZ292L21hbmFnZS9oMmE_dXRtX21lZGl1bT1lbWFpbCZ1dG1fc291cmNlPWdvdmRlbGl2ZXJ5In0.e1kUv_CAMH9KZrRJTCNFw6-wUSA91XMBBgjuQc6cHFM/s/1039002400/br/129782093744-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QsInVyaSI6ImJwMjpjbGljayIsImJ1bGxldGluX2lkIjoiMjAyMjA0MTMuNTYzOTAwNjEiLCJ1cmwiOiJodHRwczovL2xua3MuZ2QvbC9leUpoYkdjaU9pSklVekkxTmlKOS5leUppZFd4c1pYUnBibDlzYVc1clgybGtJam94TURnc0luVnlhU0k2SW1Kd01qcGpiR2xqYXlJc0ltSjFiR3hsZEdsdVgybGtJam9pTWpBeU1URXlNRGd1TkRrNU9ETTFOekVpTENKMWNtd2lPaUpvZEhSd2N6b3ZMM2QzZHk1bWMyRXVkWE5rWVM1bmIzWXZjSEp2WjNKaGJYTXRZVzVrTFhObGNuWnBZMlZ6TDJaaGNtMHRiRzloYmkxd2NtOW5jbUZ0Y3k5bGJXVnlaMlZ1WTNrdFptRnliUzFzYjJGdWN5OXBibVJsZUQ5MWRHMWZiV1ZrYVhWdFBXVnRZV2xzSm5WMGJWOXpiM1Z5WTJVOVoyOTJaR1ZzYVhabGNua2lmUS53ZkRXVkl1ajN4cE53S0QwWjJ4ZjdrN1AzdW9fMk0yQWowNmN6Um9nRXFjL3MvMTAzOTAwMjQwMC9ici8xMjI1OTEzNzYzNjgtbD91dG1fbWVkaXVtPWVtYWlsJnV0bV9zb3VyY2U9Z292ZGVsaXZlcnkifQ.Rl2tTMoxmOLdJaEK0GlWMXSo-__ABT5axFpQiqQbFyA/s/1039002400/br/129782093744-l" TargetMode="External"/><Relationship Id="rId14" Type="http://schemas.openxmlformats.org/officeDocument/2006/relationships/hyperlink" Target="https://lnks.gd/l/eyJhbGciOiJIUzI1NiJ9.eyJidWxsZXRpbl9saW5rX2lkIjoxMDksInVyaSI6ImJwMjpjbGljayIsImJ1bGxldGluX2lkIjoiMjAyMjA0MTMuNTYzOTAwNjEiLCJ1cmwiOiJodHRwOi8vd3d3LmZhcm1lcnMuZ292L3NtaHBwP3V0bV9tZWRpdW09ZW1haWwmdXRtX3NvdXJjZT1nb3ZkZWxpdmVyeSJ9.ekC7hzwQtD2EvV-7dF9mPUt5oJYVexbQCIP2t_RyAxs/s/1039002400/br/129782093744-l" TargetMode="External"/><Relationship Id="rId22" Type="http://schemas.openxmlformats.org/officeDocument/2006/relationships/hyperlink" Target="https://lnks.gd/l/eyJhbGciOiJIUzI1NiJ9.eyJidWxsZXRpbl9saW5rX2lkIjoxMTcsInVyaSI6ImJwMjpjbGljayIsImJ1bGxldGluX2lkIjoiMjAyMjA0MTMuNTYzOTAwNjEiLCJ1cmwiOiJodHRwczovL3d3dy5mc2EudXNkYS5nb3YvcHJvZ3JhbXMtYW5kLXNlcnZpY2VzL2NvbnNlcnZhdGlvbi1wcm9ncmFtcy9jb25zZXJ2YXRpb24tcmVzZXJ2ZS1wcm9ncmFtL2luZGV4P3V0bV9tZWRpdW09ZW1haWwmdXRtX3NvdXJjZT1nb3ZkZWxpdmVyeSJ9.yTojnfUWYhybnrthCaRFhVnYu54fx7igjyyPzZJbCd8/s/1039002400/br/129782093744-l" TargetMode="External"/><Relationship Id="rId27" Type="http://schemas.openxmlformats.org/officeDocument/2006/relationships/hyperlink" Target="https://lnks.gd/l/eyJhbGciOiJIUzI1NiJ9.eyJidWxsZXRpbl9saW5rX2lkIjoxMjIsInVyaSI6ImJwMjpjbGljayIsImJ1bGxldGluX2lkIjoiMjAyMjA0MTMuNTYzOTAwNjEiLCJ1cmwiOiJodHRwczovL2xua3MuZ2QvbC9leUpoYkdjaU9pSklVekkxTmlKOS5leUppZFd4c1pYUnBibDlzYVc1clgybGtJam94TURVc0luVnlhU0k2SW1Kd01qcGpiR2xqYXlJc0ltSjFiR3hsZEdsdVgybGtJam9pTWpBeU1qQXpNREl1TlRReU56azNPVEVpTENKMWNtd2lPaUpvZEhSd09pOHZkM2QzTG1aaGNtMWxjbk11WjI5MkwzTmxjblpwWTJVdGJHOWpZWFJ2Y2lKOS42WmdtVERFTE9QRWp3QmY4YnRCMG1PWUR3OXBhdlpQWFpwcC1KQnlINmNjL3MvMTU1NjE0Mzg4OC9ici8xMjc0MTkzMzI1ODgtbD91dG1fbWVkaXVtPWVtYWlsJnV0bV9zb3VyY2U9Z292ZGVsaXZlcnkifQ.ylEygnOB4YXIEnEp3Wz5fUFyFfohxy_DqSVoPCPSFaM/s/1039002400/br/129782093744-l" TargetMode="External"/><Relationship Id="rId30" Type="http://schemas.openxmlformats.org/officeDocument/2006/relationships/hyperlink" Target="https://lnks.gd/l/eyJhbGciOiJIUzI1NiJ9.eyJidWxsZXRpbl9saW5rX2lkIjoxMjUsInVyaSI6ImJwMjpjbGljayIsImJ1bGxldGluX2lkIjoiMjAyMjA0MTMuNTYzOTAwNjEiLCJ1cmwiOiJodHRwOi8vd3d3LmZhcm1lcnMuZ292Lz91dG1fbWVkaXVtPWVtYWlsJnV0bV9zb3VyY2U9Z292ZGVsaXZlcnkifQ.c962oG72kwfxQuEPXTCtX0QPpTgsRF3Zjp23tENxvLo/s/1039002400/br/129782093744-l" TargetMode="External"/><Relationship Id="rId35" Type="http://schemas.openxmlformats.org/officeDocument/2006/relationships/theme" Target="theme/theme1.xml"/><Relationship Id="rId8" Type="http://schemas.openxmlformats.org/officeDocument/2006/relationships/hyperlink" Target="https://lnks.gd/l/eyJhbGciOiJIUzI1NiJ9.eyJidWxsZXRpbl9saW5rX2lkIjoxMDMsInVyaSI6ImJwMjpjbGljayIsImJ1bGxldGluX2lkIjoiMjAyMjA0MTMuNTYzOTAwNjEiLCJ1cmwiOiJodHRwczovL3JtYS51c2RhLmdvdi8_dXRtX21lZGl1bT1lbWFpbCZ1dG1fc291cmNlPWdvdmRlbGl2ZXJ5In0.Mp2ZSDGXDH8zqHw7mhh0HAhBVtI6-s6h6ZsgkZ6KgJE/s/1039002400/br/12978209374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4712</Words>
  <Characters>26813</Characters>
  <Application>Microsoft Office Word</Application>
  <DocSecurity>0</DocSecurity>
  <Lines>515</Lines>
  <Paragraphs>198</Paragraphs>
  <ScaleCrop>false</ScaleCrop>
  <Company/>
  <LinksUpToDate>false</LinksUpToDate>
  <CharactersWithSpaces>31327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Murillo, Santa - FSA, Phoenix, AZ</dc:creator>
  <cp:keywords/>
  <dc:description/>
  <cp:lastModifiedBy>Murillo, Santa - FSA, Phoenix, AZ</cp:lastModifiedBy>
  <cp:revision>1</cp:revision>
  <dcterms:created xsi:type="dcterms:W3CDTF">2022-09-07T14:17:00Z</dcterms:created>
  <dcterms:modified xsi:type="dcterms:W3CDTF">2022-09-07T14:24:00Z</dcterms:modified>
</cp:coreProperties>
</file>